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95DD" w14:textId="77777777" w:rsidR="00A07C69" w:rsidRPr="000A13AB" w:rsidRDefault="00A07C69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6BCD2748" w14:textId="5E802C33" w:rsidR="00B5319A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Miejscowość, data: ...</w:t>
      </w:r>
      <w:r w:rsidR="00A07C69" w:rsidRPr="000A13AB">
        <w:rPr>
          <w:rFonts w:ascii="Aptos" w:hAnsi="Aptos"/>
          <w:sz w:val="24"/>
          <w:szCs w:val="24"/>
        </w:rPr>
        <w:t>.......</w:t>
      </w:r>
    </w:p>
    <w:p w14:paraId="3868E553" w14:textId="77777777" w:rsidR="00B5319A" w:rsidRPr="000A13AB" w:rsidRDefault="00B5319A" w:rsidP="00B5319A">
      <w:pPr>
        <w:pStyle w:val="Nagwek1"/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FORMULARZ OFERTOWY</w:t>
      </w:r>
    </w:p>
    <w:p w14:paraId="2B3277D9" w14:textId="6CE4DFDA" w:rsidR="00B5319A" w:rsidRPr="000A13AB" w:rsidRDefault="00B5319A" w:rsidP="00B5319A">
      <w:pPr>
        <w:pStyle w:val="Nagwek1"/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Oferta złożona do postępowania nr AI.220</w:t>
      </w:r>
      <w:r w:rsidR="00466698" w:rsidRPr="000A13AB">
        <w:rPr>
          <w:rFonts w:ascii="Aptos" w:hAnsi="Aptos"/>
          <w:sz w:val="24"/>
          <w:szCs w:val="24"/>
        </w:rPr>
        <w:t>.</w:t>
      </w:r>
      <w:r w:rsidR="00DC23B9" w:rsidRPr="000A13AB">
        <w:rPr>
          <w:rFonts w:ascii="Aptos" w:hAnsi="Aptos"/>
          <w:sz w:val="24"/>
          <w:szCs w:val="24"/>
        </w:rPr>
        <w:t>48</w:t>
      </w:r>
      <w:r w:rsidR="00466698" w:rsidRPr="000A13AB">
        <w:rPr>
          <w:rFonts w:ascii="Aptos" w:hAnsi="Aptos"/>
          <w:sz w:val="24"/>
          <w:szCs w:val="24"/>
        </w:rPr>
        <w:t>.</w:t>
      </w:r>
      <w:r w:rsidR="0096381C" w:rsidRPr="000A13AB">
        <w:rPr>
          <w:rFonts w:ascii="Aptos" w:hAnsi="Aptos"/>
          <w:sz w:val="24"/>
          <w:szCs w:val="24"/>
        </w:rPr>
        <w:t>202</w:t>
      </w:r>
      <w:r w:rsidR="00466698" w:rsidRPr="000A13AB">
        <w:rPr>
          <w:rFonts w:ascii="Aptos" w:hAnsi="Aptos"/>
          <w:sz w:val="24"/>
          <w:szCs w:val="24"/>
        </w:rPr>
        <w:t>6</w:t>
      </w:r>
      <w:r w:rsidR="0096381C" w:rsidRPr="000A13AB">
        <w:rPr>
          <w:rFonts w:ascii="Aptos" w:hAnsi="Aptos"/>
          <w:sz w:val="24"/>
          <w:szCs w:val="24"/>
        </w:rPr>
        <w:t>.ZC</w:t>
      </w:r>
      <w:r w:rsidRPr="000A13AB">
        <w:rPr>
          <w:rFonts w:ascii="Aptos" w:hAnsi="Aptos"/>
          <w:sz w:val="24"/>
          <w:szCs w:val="24"/>
        </w:rPr>
        <w:t xml:space="preserve"> o udzielenie zamówienia publicznego przeprowadzonego na podstawie art. 2 ust. 1 pkt 1 ustawy Prawo Zamówień Publicznych.</w:t>
      </w:r>
    </w:p>
    <w:p w14:paraId="4A2C7960" w14:textId="77777777" w:rsidR="00B5319A" w:rsidRPr="000A13AB" w:rsidRDefault="00B5319A" w:rsidP="00B5319A">
      <w:pPr>
        <w:pStyle w:val="Nagwek2"/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Dane Wykonawcy:</w:t>
      </w:r>
    </w:p>
    <w:p w14:paraId="273944E6" w14:textId="77777777" w:rsidR="00B5319A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Nazwa i adres Wykonawcy: ...</w:t>
      </w:r>
    </w:p>
    <w:p w14:paraId="5B14EA0B" w14:textId="77777777" w:rsidR="00B5319A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nr regon, NIP: ...</w:t>
      </w:r>
    </w:p>
    <w:p w14:paraId="4C639491" w14:textId="77777777" w:rsidR="00B5319A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telefon: ...</w:t>
      </w:r>
    </w:p>
    <w:p w14:paraId="23476016" w14:textId="77777777" w:rsidR="00B5319A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adres e-mail: ...</w:t>
      </w:r>
    </w:p>
    <w:p w14:paraId="043DE491" w14:textId="77777777" w:rsidR="00B5319A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właściwy dla Wykonawcy organ podatkowy (Urząd Skarbowy): ...</w:t>
      </w:r>
    </w:p>
    <w:p w14:paraId="55764778" w14:textId="77777777" w:rsidR="00B5319A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nr konta: ...</w:t>
      </w:r>
    </w:p>
    <w:p w14:paraId="4C43A623" w14:textId="77777777" w:rsidR="00164FDE" w:rsidRPr="000A13AB" w:rsidRDefault="00164FDE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4A2E12C9" w14:textId="2EF98A41" w:rsidR="00BC0B86" w:rsidRPr="000A13AB" w:rsidRDefault="00B5319A" w:rsidP="00EB10BF">
      <w:pPr>
        <w:pStyle w:val="Nagwek2"/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Opis przedmiotu zamówienia:</w:t>
      </w:r>
    </w:p>
    <w:p w14:paraId="5B56794F" w14:textId="5438ECC4" w:rsidR="00EB10BF" w:rsidRPr="000A13AB" w:rsidRDefault="00337375" w:rsidP="00EB10BF">
      <w:pPr>
        <w:rPr>
          <w:rFonts w:ascii="Aptos" w:hAnsi="Aptos"/>
          <w:b/>
          <w:bCs/>
          <w:sz w:val="24"/>
          <w:szCs w:val="24"/>
        </w:rPr>
      </w:pPr>
      <w:r w:rsidRPr="000A13AB">
        <w:rPr>
          <w:rFonts w:ascii="Aptos" w:hAnsi="Aptos"/>
          <w:b/>
          <w:bCs/>
          <w:sz w:val="24"/>
          <w:szCs w:val="24"/>
        </w:rPr>
        <w:t xml:space="preserve">Dostawa </w:t>
      </w:r>
      <w:r w:rsidR="000074A2">
        <w:rPr>
          <w:rFonts w:ascii="Aptos" w:hAnsi="Aptos"/>
          <w:b/>
          <w:bCs/>
          <w:sz w:val="24"/>
          <w:szCs w:val="24"/>
        </w:rPr>
        <w:t>zestawu</w:t>
      </w:r>
      <w:r w:rsidRPr="000A13AB">
        <w:rPr>
          <w:rFonts w:ascii="Aptos" w:hAnsi="Aptos"/>
          <w:b/>
          <w:bCs/>
          <w:sz w:val="24"/>
          <w:szCs w:val="24"/>
        </w:rPr>
        <w:t xml:space="preserve"> </w:t>
      </w:r>
      <w:r w:rsidR="000074A2">
        <w:rPr>
          <w:rFonts w:ascii="Aptos" w:hAnsi="Aptos"/>
          <w:b/>
          <w:bCs/>
          <w:sz w:val="24"/>
          <w:szCs w:val="24"/>
        </w:rPr>
        <w:t>multimedialnego do pokoju konferencyjnego</w:t>
      </w:r>
      <w:r w:rsidRPr="000A13AB">
        <w:rPr>
          <w:rFonts w:ascii="Aptos" w:hAnsi="Aptos"/>
          <w:b/>
          <w:bCs/>
          <w:sz w:val="24"/>
          <w:szCs w:val="24"/>
        </w:rPr>
        <w:t>.</w:t>
      </w:r>
    </w:p>
    <w:p w14:paraId="2F21ED1F" w14:textId="77777777" w:rsidR="00C1621E" w:rsidRPr="000A13AB" w:rsidRDefault="00C1621E" w:rsidP="00C1621E">
      <w:pPr>
        <w:pStyle w:val="Nagwek4"/>
        <w:ind w:left="142" w:hanging="284"/>
        <w:rPr>
          <w:rFonts w:ascii="Aptos" w:hAnsi="Aptos" w:cs="Calibri"/>
          <w:szCs w:val="24"/>
        </w:rPr>
      </w:pPr>
      <w:r w:rsidRPr="000A13AB">
        <w:rPr>
          <w:rFonts w:ascii="Aptos" w:hAnsi="Aptos" w:cs="Calibri"/>
          <w:szCs w:val="24"/>
        </w:rPr>
        <w:t>Obowiązek Wykonawcy</w:t>
      </w:r>
    </w:p>
    <w:p w14:paraId="4392866B" w14:textId="6A4E7514" w:rsidR="00C1621E" w:rsidRPr="000A13AB" w:rsidRDefault="00C1621E" w:rsidP="00C1621E">
      <w:pPr>
        <w:spacing w:line="360" w:lineRule="auto"/>
        <w:ind w:left="-142"/>
        <w:contextualSpacing/>
        <w:rPr>
          <w:rFonts w:ascii="Aptos" w:hAnsi="Aptos" w:cs="Calibri"/>
          <w:sz w:val="24"/>
          <w:szCs w:val="24"/>
        </w:rPr>
      </w:pPr>
      <w:r w:rsidRPr="000A13AB">
        <w:rPr>
          <w:rFonts w:ascii="Aptos" w:hAnsi="Aptos" w:cs="Calibri"/>
          <w:sz w:val="24"/>
          <w:szCs w:val="24"/>
        </w:rPr>
        <w:t xml:space="preserve">Dostawa, </w:t>
      </w:r>
      <w:r w:rsidR="00FB38E6" w:rsidRPr="000A13AB">
        <w:rPr>
          <w:rFonts w:ascii="Aptos" w:hAnsi="Aptos" w:cs="Calibri"/>
          <w:sz w:val="24"/>
          <w:szCs w:val="24"/>
        </w:rPr>
        <w:t xml:space="preserve">rozładunek, </w:t>
      </w:r>
      <w:r w:rsidRPr="000A13AB">
        <w:rPr>
          <w:rFonts w:ascii="Aptos" w:hAnsi="Aptos" w:cs="Calibri"/>
          <w:sz w:val="24"/>
          <w:szCs w:val="24"/>
        </w:rPr>
        <w:t xml:space="preserve">montaż wraz ze szkoleniem stanowiskowym zestawu do prezentacji multimedialnych, dalej </w:t>
      </w:r>
      <w:r w:rsidR="00A10131" w:rsidRPr="000A13AB">
        <w:rPr>
          <w:rFonts w:ascii="Aptos" w:hAnsi="Aptos" w:cs="Calibri"/>
          <w:sz w:val="24"/>
          <w:szCs w:val="24"/>
        </w:rPr>
        <w:t xml:space="preserve">zwanym </w:t>
      </w:r>
      <w:r w:rsidRPr="000A13AB">
        <w:rPr>
          <w:rFonts w:ascii="Aptos" w:hAnsi="Aptos" w:cs="Calibri"/>
          <w:sz w:val="24"/>
          <w:szCs w:val="24"/>
        </w:rPr>
        <w:t>zestaw. Zestaw musi być dostarczony z kompletem niezbędnych akcesoriów</w:t>
      </w:r>
      <w:r w:rsidR="006B6EBD" w:rsidRPr="000A13AB">
        <w:rPr>
          <w:rFonts w:ascii="Aptos" w:hAnsi="Aptos" w:cs="Calibri"/>
          <w:sz w:val="24"/>
          <w:szCs w:val="24"/>
        </w:rPr>
        <w:t xml:space="preserve"> gwarantujących </w:t>
      </w:r>
      <w:r w:rsidR="008527A7" w:rsidRPr="000A13AB">
        <w:rPr>
          <w:rFonts w:ascii="Aptos" w:hAnsi="Aptos" w:cs="Calibri"/>
          <w:sz w:val="24"/>
          <w:szCs w:val="24"/>
        </w:rPr>
        <w:t>montaż, uruchomienie i obsługę w tym m.in.</w:t>
      </w:r>
      <w:r w:rsidRPr="000A13AB">
        <w:rPr>
          <w:rFonts w:ascii="Aptos" w:hAnsi="Aptos" w:cs="Calibri"/>
          <w:sz w:val="24"/>
          <w:szCs w:val="24"/>
        </w:rPr>
        <w:t>: przewód zasilający, pilot z bateriami, instrukcja obsługi w języku polskim, karta gwarancyjna. Wymagana jest regulacja ustawień i dostosowanie parametrów wyświetlania</w:t>
      </w:r>
      <w:r w:rsidR="00DF6FEA" w:rsidRPr="000A13AB">
        <w:rPr>
          <w:rFonts w:ascii="Aptos" w:hAnsi="Aptos" w:cs="Calibri"/>
          <w:sz w:val="24"/>
          <w:szCs w:val="24"/>
        </w:rPr>
        <w:t>, p</w:t>
      </w:r>
      <w:r w:rsidRPr="000A13AB">
        <w:rPr>
          <w:rFonts w:ascii="Aptos" w:hAnsi="Aptos" w:cs="Calibri"/>
          <w:sz w:val="24"/>
          <w:szCs w:val="24"/>
        </w:rPr>
        <w:t>ołączenie wszystkich elementów z zastosowaniem odpowiedniego okablowania</w:t>
      </w:r>
      <w:r w:rsidR="00DF6FEA" w:rsidRPr="000A13AB">
        <w:rPr>
          <w:rFonts w:ascii="Aptos" w:hAnsi="Aptos" w:cs="Calibri"/>
          <w:sz w:val="24"/>
          <w:szCs w:val="24"/>
        </w:rPr>
        <w:t>, w</w:t>
      </w:r>
      <w:r w:rsidRPr="000A13AB">
        <w:rPr>
          <w:rFonts w:ascii="Aptos" w:hAnsi="Aptos" w:cs="Calibri"/>
          <w:sz w:val="24"/>
          <w:szCs w:val="24"/>
        </w:rPr>
        <w:t>ykonanie konfiguracji i pierwszego uruchomienia</w:t>
      </w:r>
      <w:r w:rsidR="00DF6FEA" w:rsidRPr="000A13AB">
        <w:rPr>
          <w:rFonts w:ascii="Aptos" w:hAnsi="Aptos" w:cs="Calibri"/>
          <w:sz w:val="24"/>
          <w:szCs w:val="24"/>
        </w:rPr>
        <w:t>, p</w:t>
      </w:r>
      <w:r w:rsidRPr="000A13AB">
        <w:rPr>
          <w:rFonts w:ascii="Aptos" w:hAnsi="Aptos" w:cs="Calibri"/>
          <w:sz w:val="24"/>
          <w:szCs w:val="24"/>
        </w:rPr>
        <w:t>rzeprowadzenie szkolenia dla użytkowników. Po stronie Wykonawcy leży obowiązek uzupełnienia elementów niezbędnych, lecz niewyszczególnionych w opisie, do pełnego działania i funkcjonowania dostarczonych urządzeń.</w:t>
      </w:r>
    </w:p>
    <w:p w14:paraId="6E5704B0" w14:textId="77777777" w:rsidR="00344B19" w:rsidRPr="000A13AB" w:rsidRDefault="00344B19" w:rsidP="00BC0B86">
      <w:pPr>
        <w:rPr>
          <w:rFonts w:ascii="Aptos" w:hAnsi="Aptos"/>
          <w:sz w:val="24"/>
          <w:szCs w:val="24"/>
        </w:rPr>
      </w:pPr>
    </w:p>
    <w:p w14:paraId="2CAF1A1D" w14:textId="77777777" w:rsidR="00164FDE" w:rsidRPr="000A13AB" w:rsidRDefault="00164FDE" w:rsidP="00BC0B86">
      <w:pPr>
        <w:rPr>
          <w:rFonts w:ascii="Aptos" w:hAnsi="Aptos"/>
          <w:sz w:val="24"/>
          <w:szCs w:val="24"/>
        </w:rPr>
      </w:pPr>
    </w:p>
    <w:p w14:paraId="3FB5E593" w14:textId="77777777" w:rsidR="00164FDE" w:rsidRPr="000A13AB" w:rsidRDefault="00164FDE" w:rsidP="00BC0B86">
      <w:pPr>
        <w:rPr>
          <w:rFonts w:ascii="Aptos" w:hAnsi="Aptos"/>
          <w:sz w:val="24"/>
          <w:szCs w:val="24"/>
        </w:rPr>
      </w:pPr>
    </w:p>
    <w:p w14:paraId="2CAF309B" w14:textId="5198AD22" w:rsidR="000C6486" w:rsidRPr="000A13AB" w:rsidRDefault="000C6486" w:rsidP="000C6486">
      <w:pPr>
        <w:pStyle w:val="Nagwek4"/>
        <w:ind w:left="142" w:hanging="284"/>
        <w:rPr>
          <w:rFonts w:ascii="Aptos" w:hAnsi="Aptos" w:cs="Calibri"/>
          <w:szCs w:val="24"/>
        </w:rPr>
      </w:pPr>
      <w:r w:rsidRPr="000A13AB">
        <w:rPr>
          <w:rFonts w:ascii="Aptos" w:hAnsi="Aptos" w:cs="Calibri"/>
          <w:szCs w:val="24"/>
        </w:rPr>
        <w:lastRenderedPageBreak/>
        <w:t>Specyfikacja techniczna</w:t>
      </w:r>
      <w:r w:rsidR="0004002E">
        <w:rPr>
          <w:rFonts w:ascii="Aptos" w:hAnsi="Aptos" w:cs="Calibri"/>
          <w:szCs w:val="24"/>
        </w:rPr>
        <w:t xml:space="preserve"> – parametry minimalne wymagane.</w:t>
      </w:r>
    </w:p>
    <w:p w14:paraId="00D4C613" w14:textId="152DCB96" w:rsidR="009F6F63" w:rsidRPr="009F6F63" w:rsidRDefault="000C6AC4" w:rsidP="009F6F63">
      <w:pPr>
        <w:spacing w:line="360" w:lineRule="auto"/>
        <w:rPr>
          <w:rFonts w:ascii="Aptos" w:hAnsi="Aptos" w:cs="Calibri"/>
          <w:b/>
          <w:bCs/>
          <w:sz w:val="24"/>
          <w:szCs w:val="24"/>
        </w:rPr>
      </w:pPr>
      <w:r w:rsidRPr="000A13AB">
        <w:rPr>
          <w:rFonts w:ascii="Aptos" w:hAnsi="Aptos" w:cs="Calibri"/>
          <w:b/>
          <w:bCs/>
          <w:sz w:val="24"/>
          <w:szCs w:val="24"/>
        </w:rPr>
        <w:t>2.</w:t>
      </w:r>
      <w:r w:rsidR="00EF6D52">
        <w:rPr>
          <w:rFonts w:ascii="Aptos" w:hAnsi="Aptos" w:cs="Calibri"/>
          <w:b/>
          <w:bCs/>
          <w:sz w:val="24"/>
          <w:szCs w:val="24"/>
        </w:rPr>
        <w:t>1</w:t>
      </w:r>
      <w:r w:rsidRPr="000A13AB">
        <w:rPr>
          <w:rFonts w:ascii="Aptos" w:hAnsi="Aptos" w:cs="Calibri"/>
          <w:b/>
          <w:bCs/>
          <w:sz w:val="24"/>
          <w:szCs w:val="24"/>
        </w:rPr>
        <w:t xml:space="preserve"> </w:t>
      </w:r>
      <w:r w:rsidR="00A009ED" w:rsidRPr="000A13AB">
        <w:rPr>
          <w:rFonts w:ascii="Aptos" w:hAnsi="Aptos" w:cs="Calibri"/>
          <w:b/>
          <w:bCs/>
          <w:sz w:val="24"/>
          <w:szCs w:val="24"/>
        </w:rPr>
        <w:t>Monitor interaktywny</w:t>
      </w:r>
    </w:p>
    <w:p w14:paraId="7DBF876A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1. Wyświetlacz</w:t>
      </w:r>
    </w:p>
    <w:p w14:paraId="37BAD669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1.1. Przekątna ekranu: 65".</w:t>
      </w:r>
    </w:p>
    <w:p w14:paraId="15C0448D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1.2. Rozdzielczość natywna: 3840 × 2160 pikseli.</w:t>
      </w:r>
    </w:p>
    <w:p w14:paraId="0C1296DD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1.3. Technologia podświetlenia LED.</w:t>
      </w:r>
    </w:p>
    <w:p w14:paraId="40325442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1.4. Jasność minimum 400 cd/m².</w:t>
      </w:r>
    </w:p>
    <w:p w14:paraId="65D735C0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1.5. Żywotność podświetlenia minimum 50 000 godzin.</w:t>
      </w:r>
    </w:p>
    <w:p w14:paraId="0C35F56C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1.6. Szkło hartowane antyodblaskowe.</w:t>
      </w:r>
    </w:p>
    <w:p w14:paraId="77115C09" w14:textId="1D443C52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1.7. Technologia ograniczająca paralaksę podczas pisania (Zero Bonding lub rozwiązanie równoważne).</w:t>
      </w:r>
    </w:p>
    <w:p w14:paraId="7004AEEA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2. Funkcje dotykowe</w:t>
      </w:r>
    </w:p>
    <w:p w14:paraId="7EB74B8D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2.1. Minimum 50 jednoczesnych punktów dotyku.</w:t>
      </w:r>
    </w:p>
    <w:p w14:paraId="58DA6CDD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2.2. Rozpoznawanie dotyku palcem oraz pasywnym piórem.</w:t>
      </w:r>
    </w:p>
    <w:p w14:paraId="4E8F31E0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2.3. Automatyczne odrzucanie przypadkowych dotknięć dłoni (Palm Rejection).</w:t>
      </w:r>
    </w:p>
    <w:p w14:paraId="555FB147" w14:textId="16B34AC1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2.4. Czas reakcji dotyku nie większy niż 8 ms.</w:t>
      </w:r>
    </w:p>
    <w:p w14:paraId="5320DA24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3. Wbudowany system operacyjny</w:t>
      </w:r>
    </w:p>
    <w:p w14:paraId="2E5D7FC1" w14:textId="438A8700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3.1. Android 14 lub nowszy</w:t>
      </w:r>
      <w:r w:rsidR="00C3775A" w:rsidRPr="0004002E">
        <w:rPr>
          <w:rFonts w:ascii="Aptos" w:hAnsi="Aptos" w:cs="Calibri"/>
          <w:sz w:val="24"/>
          <w:szCs w:val="24"/>
        </w:rPr>
        <w:t>.</w:t>
      </w:r>
    </w:p>
    <w:p w14:paraId="53FADF6F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3.2. Certyfikacja Google EDLA.</w:t>
      </w:r>
    </w:p>
    <w:p w14:paraId="5A5A9ABC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3.3. Możliwość natywnej instalacji aplikacji ze sklepu Google Play.</w:t>
      </w:r>
    </w:p>
    <w:p w14:paraId="60EF1056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3.4. Pamięć RAM minimum 8 GB.</w:t>
      </w:r>
    </w:p>
    <w:p w14:paraId="529BD20A" w14:textId="644CD876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3.5. Pamięć wewnętrzna minimum 64 GB.</w:t>
      </w:r>
    </w:p>
    <w:p w14:paraId="3ED59DC7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4. Łączność</w:t>
      </w:r>
    </w:p>
    <w:p w14:paraId="2412B476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4.1. Wi-Fi 6 (802.11ax).</w:t>
      </w:r>
    </w:p>
    <w:p w14:paraId="7CA1CC2F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4.2. Bluetooth 5.2 lub nowszy.</w:t>
      </w:r>
    </w:p>
    <w:p w14:paraId="6623258D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4.3. Port LAN RJ45 10/100/1000.</w:t>
      </w:r>
    </w:p>
    <w:p w14:paraId="6D648370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</w:p>
    <w:p w14:paraId="44134B22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lastRenderedPageBreak/>
        <w:t>5. Interfejsy</w:t>
      </w:r>
    </w:p>
    <w:p w14:paraId="33364353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5.1. Minimum 3 wejścia HDMI.</w:t>
      </w:r>
    </w:p>
    <w:p w14:paraId="43C1972D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5.2. Minimum 1 wyjście HDMI.</w:t>
      </w:r>
    </w:p>
    <w:p w14:paraId="74D172E2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5.3. Minimum 1 wejście DisplayPort.</w:t>
      </w:r>
    </w:p>
    <w:p w14:paraId="22314AA1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5.4. Minimum 1 port USB-C umożliwiający jednoczesną transmisję obrazu, dźwięku, danych USB oraz zasilanie urządzenia zewnętrznego.</w:t>
      </w:r>
    </w:p>
    <w:p w14:paraId="5808C5FF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5.5. Port USB-C musi zapewniać funkcję Power Delivery o mocy minimum 15 W.</w:t>
      </w:r>
    </w:p>
    <w:p w14:paraId="63A0BABA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5.6. Minimum 4 porty USB typu A.</w:t>
      </w:r>
    </w:p>
    <w:p w14:paraId="2CE1CCD1" w14:textId="4106BAC9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5.7. Slot OPS zgodny ze standardem Intel OPS.</w:t>
      </w:r>
    </w:p>
    <w:p w14:paraId="6D7B4750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6. Audio</w:t>
      </w:r>
    </w:p>
    <w:p w14:paraId="19311E6C" w14:textId="5EB16BE5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6.1. Wbudowany system audio o łącznej mocy minimum 40 W.</w:t>
      </w:r>
    </w:p>
    <w:p w14:paraId="0C68E137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7. Oprogramowanie</w:t>
      </w:r>
    </w:p>
    <w:p w14:paraId="2E94B580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7.1. Wbudowana aplikacja tablicy interaktywnej.</w:t>
      </w:r>
    </w:p>
    <w:p w14:paraId="1A03C406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7.2. Wbudowana funkcja bezprzewodowego udostępniania obrazu z komputerów oraz urządzeń mobilnych.</w:t>
      </w:r>
    </w:p>
    <w:p w14:paraId="1D83C976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7.3. Obsługa aktualizacji systemu OTA (Over The Air).</w:t>
      </w:r>
    </w:p>
    <w:p w14:paraId="63D47EF2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7.4. Obsługa wielu profili użytkowników.</w:t>
      </w:r>
    </w:p>
    <w:p w14:paraId="0B31F488" w14:textId="308FAD98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7.5. Integracja z usługami Google Workspace wynikająca z certyfikacji Google EDLA.</w:t>
      </w:r>
    </w:p>
    <w:p w14:paraId="167EB031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8. Wyposażenie</w:t>
      </w:r>
    </w:p>
    <w:p w14:paraId="153A16C7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8.1. Minimum dwa pasywne pióra.</w:t>
      </w:r>
    </w:p>
    <w:p w14:paraId="70889500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8.2. Pilot zdalnego sterowania.</w:t>
      </w:r>
    </w:p>
    <w:p w14:paraId="368A9667" w14:textId="4EBB12C9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8.3. Przewód zasilający.</w:t>
      </w:r>
    </w:p>
    <w:p w14:paraId="7DB8C515" w14:textId="77777777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>9. Gwarancja</w:t>
      </w:r>
    </w:p>
    <w:p w14:paraId="55302409" w14:textId="346DA466" w:rsidR="009F6F63" w:rsidRPr="0004002E" w:rsidRDefault="009F6F63" w:rsidP="009F6F63">
      <w:pPr>
        <w:spacing w:line="360" w:lineRule="auto"/>
        <w:rPr>
          <w:rFonts w:ascii="Aptos" w:hAnsi="Aptos" w:cs="Calibri"/>
          <w:sz w:val="24"/>
          <w:szCs w:val="24"/>
        </w:rPr>
      </w:pPr>
      <w:r w:rsidRPr="0004002E">
        <w:rPr>
          <w:rFonts w:ascii="Aptos" w:hAnsi="Aptos" w:cs="Calibri"/>
          <w:sz w:val="24"/>
          <w:szCs w:val="24"/>
        </w:rPr>
        <w:t xml:space="preserve">   9.1. Minimum 5 lat gwarancji producenta.</w:t>
      </w:r>
    </w:p>
    <w:p w14:paraId="6FDE668A" w14:textId="77777777" w:rsidR="00164FDE" w:rsidRPr="00BC1767" w:rsidRDefault="00164FDE" w:rsidP="00164FDE">
      <w:pPr>
        <w:pStyle w:val="Nagwek1"/>
        <w:contextualSpacing/>
        <w:rPr>
          <w:rFonts w:ascii="Aptos" w:hAnsi="Aptos" w:cs="Calibri"/>
          <w:color w:val="auto"/>
          <w:sz w:val="24"/>
          <w:szCs w:val="24"/>
        </w:rPr>
      </w:pPr>
      <w:r w:rsidRPr="00BC1767">
        <w:rPr>
          <w:rFonts w:ascii="Aptos" w:hAnsi="Aptos" w:cs="Calibri"/>
          <w:color w:val="auto"/>
          <w:sz w:val="24"/>
          <w:szCs w:val="24"/>
        </w:rPr>
        <w:t xml:space="preserve">Oprogramowanie typu Android 14 lub równoważne, spełniające poniższe warunki </w:t>
      </w:r>
    </w:p>
    <w:p w14:paraId="4210BBE3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 xml:space="preserve">Przez równoważność Zamawiający rozumie konieczność zapewnienia przez system funkcjonalności jakie oferuje system Android w min. wskazanej przez Zamawiającego </w:t>
      </w:r>
      <w:r w:rsidRPr="00BC1767">
        <w:rPr>
          <w:rFonts w:ascii="Aptos" w:hAnsi="Aptos" w:cs="Calibri"/>
          <w:sz w:val="24"/>
          <w:szCs w:val="24"/>
        </w:rPr>
        <w:lastRenderedPageBreak/>
        <w:t>wersji. A także dostępność dla systemu równoważnego tych aplikacji, które są dostępne dla wskazanego przez Zamawiającego systemu Android, lub aplikacji alternatywnych, zapewniających te same funkcjonalności.</w:t>
      </w:r>
    </w:p>
    <w:p w14:paraId="1704C1C5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Pozostałe warunki równoważności:</w:t>
      </w:r>
    </w:p>
    <w:p w14:paraId="2C8A4EED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zapewnia wielozadaniowość, wielowątkowość, pamięć wirtualną i możliwość zarządzania pamięcią,</w:t>
      </w:r>
    </w:p>
    <w:p w14:paraId="5102A1F4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system nie związany z jakimikolwiek ograniczeniami praw autorskich – dostępny na licencji Apache License 2.0,</w:t>
      </w:r>
    </w:p>
    <w:p w14:paraId="6D0BEEE5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zapewnia szybkie przełączanie się pomiędzy aplikacjami poprzez dwukrotne kliknięcie,</w:t>
      </w:r>
    </w:p>
    <w:p w14:paraId="7DD8BE8C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umożliwia spersonalizowanie ustawień telefonu według preferencji użytkownika,</w:t>
      </w:r>
    </w:p>
    <w:p w14:paraId="7F130EB2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umożliwia grupowanie powiadomień,</w:t>
      </w:r>
    </w:p>
    <w:p w14:paraId="1927BD06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umożliwia pobieranie aktualizacji w tle bez konieczności wyłączania urządzenia,</w:t>
      </w:r>
    </w:p>
    <w:p w14:paraId="248B5A7C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umożliwia instalację aplikacji z dedykowanego sklepu,</w:t>
      </w:r>
    </w:p>
    <w:p w14:paraId="111B0F95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posiada dostęp do bieżących aktualizacji systemu,</w:t>
      </w:r>
    </w:p>
    <w:p w14:paraId="56317403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obsługuje formaty multimedialne: MPEG-4, H.264, MP3 oraz AAC, JPEG, PNG, GIF,</w:t>
      </w:r>
    </w:p>
    <w:p w14:paraId="423C695C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możliwość uruchomienia i użytkowania platform do nauki zdalnej m.in. Microsoft, Teams, Google Classroom, G Suite, Discord, Zoom,</w:t>
      </w:r>
    </w:p>
    <w:p w14:paraId="22A2D932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obsługa menadżera plików,</w:t>
      </w:r>
    </w:p>
    <w:p w14:paraId="5C7326C8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możliwość udostępniania ekranu mobilnego;</w:t>
      </w:r>
    </w:p>
    <w:p w14:paraId="48A3BBC5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wbudowana przeglądarka internetowa,</w:t>
      </w:r>
    </w:p>
    <w:p w14:paraId="4C674ABC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możliwość wykonywania zrzutów ekranu,</w:t>
      </w:r>
    </w:p>
    <w:p w14:paraId="31AAE3CB" w14:textId="77777777" w:rsidR="00164FDE" w:rsidRPr="00BC1767" w:rsidRDefault="00164FDE" w:rsidP="00164FDE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 xml:space="preserve"> możliwość tworzenia profili użytkownika,</w:t>
      </w:r>
    </w:p>
    <w:p w14:paraId="577B545F" w14:textId="7B81FB03" w:rsidR="00AA0739" w:rsidRPr="00BC1767" w:rsidRDefault="00164FDE" w:rsidP="00AA0739">
      <w:pPr>
        <w:spacing w:line="360" w:lineRule="auto"/>
        <w:rPr>
          <w:rFonts w:ascii="Aptos" w:hAnsi="Aptos" w:cs="Calibri"/>
          <w:sz w:val="24"/>
          <w:szCs w:val="24"/>
        </w:rPr>
      </w:pPr>
      <w:r w:rsidRPr="00BC1767">
        <w:rPr>
          <w:rFonts w:ascii="Aptos" w:hAnsi="Aptos" w:cs="Calibri"/>
          <w:sz w:val="24"/>
          <w:szCs w:val="24"/>
        </w:rPr>
        <w:t>możliwość równoczesnego wyświetlania dwóch okien różnych aplikacji.</w:t>
      </w:r>
    </w:p>
    <w:p w14:paraId="09968E53" w14:textId="4BC5FA9B" w:rsidR="00AA0739" w:rsidRDefault="00353A36" w:rsidP="00AA0739">
      <w:pPr>
        <w:spacing w:line="360" w:lineRule="auto"/>
        <w:rPr>
          <w:rFonts w:ascii="Aptos" w:hAnsi="Aptos" w:cs="Calibri"/>
          <w:b/>
          <w:bCs/>
          <w:sz w:val="24"/>
          <w:szCs w:val="24"/>
        </w:rPr>
      </w:pPr>
      <w:r w:rsidRPr="000A13AB">
        <w:rPr>
          <w:rFonts w:ascii="Aptos" w:hAnsi="Aptos" w:cs="Calibri"/>
          <w:b/>
          <w:bCs/>
          <w:sz w:val="24"/>
          <w:szCs w:val="24"/>
        </w:rPr>
        <w:t xml:space="preserve">2.2 </w:t>
      </w:r>
      <w:r w:rsidR="00AA0739" w:rsidRPr="000A13AB">
        <w:rPr>
          <w:rFonts w:ascii="Aptos" w:hAnsi="Aptos" w:cs="Calibri"/>
          <w:b/>
          <w:bCs/>
          <w:sz w:val="24"/>
          <w:szCs w:val="24"/>
        </w:rPr>
        <w:t>Statyw mobilny do monitora interaktywnego</w:t>
      </w:r>
      <w:r w:rsidR="009560D4" w:rsidRPr="000A13AB">
        <w:rPr>
          <w:rFonts w:ascii="Aptos" w:hAnsi="Aptos" w:cs="Calibri"/>
          <w:b/>
          <w:bCs/>
          <w:sz w:val="24"/>
          <w:szCs w:val="24"/>
        </w:rPr>
        <w:t xml:space="preserve"> max.92”</w:t>
      </w:r>
    </w:p>
    <w:p w14:paraId="028EFFC6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1. Przeznaczenie</w:t>
      </w:r>
    </w:p>
    <w:p w14:paraId="42F6F5F8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1.1. Statyw mobilny przeznaczony do montażu monitorów interaktywnych o przekątnej od 55" do 92".</w:t>
      </w:r>
    </w:p>
    <w:p w14:paraId="1746F6ED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</w:p>
    <w:p w14:paraId="187BA5B0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2. Konstrukcja</w:t>
      </w:r>
    </w:p>
    <w:p w14:paraId="5A8FFE45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2.1. Konstrukcja wykonana ze stali oraz elementów aluminiowych.</w:t>
      </w:r>
    </w:p>
    <w:p w14:paraId="611A72C8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2.2. Konstrukcja wolnostojąca, mobilna.</w:t>
      </w:r>
    </w:p>
    <w:p w14:paraId="4EB25B11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2.3. Kolor grafitowy lub ciemnoszary.</w:t>
      </w:r>
    </w:p>
    <w:p w14:paraId="146992FB" w14:textId="6BF39B0C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2.4. Wymiary całkowite statywu:</w:t>
      </w:r>
    </w:p>
    <w:p w14:paraId="313874CF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* szerokość: około 1150 mm,</w:t>
      </w:r>
    </w:p>
    <w:p w14:paraId="5DE609EE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* głębokość: około 685 mm,</w:t>
      </w:r>
    </w:p>
    <w:p w14:paraId="776F5FAA" w14:textId="7F7B743D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* wysokość: około 1600 mm.</w:t>
      </w:r>
    </w:p>
    <w:p w14:paraId="06B5ED74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3. Parametry montażowe</w:t>
      </w:r>
    </w:p>
    <w:p w14:paraId="0C6335D0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3.1. Obsługa standardu VESA do minimum 1000 × 600 mm.</w:t>
      </w:r>
    </w:p>
    <w:p w14:paraId="551428A7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3.2. Maksymalne obciążenie statyczne nie mniejsze niż 125 kg.</w:t>
      </w:r>
    </w:p>
    <w:p w14:paraId="01688270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3.3. Dopuszczalne obciążenie podczas przemieszczania statywu nie mniejsze niż 85 kg.</w:t>
      </w:r>
    </w:p>
    <w:p w14:paraId="141FB31E" w14:textId="2CD9E9D8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3.4. Regulacja wysokości montażu monitora w zakresie minimum 0–181 mm.</w:t>
      </w:r>
    </w:p>
    <w:p w14:paraId="1F2747CD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4. Mobilność</w:t>
      </w:r>
    </w:p>
    <w:p w14:paraId="40FA40A7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4.1. Statyw wyposażony w cztery koła jezdne.</w:t>
      </w:r>
    </w:p>
    <w:p w14:paraId="5B8F1933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4.2. Wszystkie koła wyposażone w mechanizm blokady.</w:t>
      </w:r>
    </w:p>
    <w:p w14:paraId="2F63288B" w14:textId="3A9C34E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4.3. Koła przystosowane do cichego przemieszczania zestawu.</w:t>
      </w:r>
    </w:p>
    <w:p w14:paraId="0A171752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5. Wyposażenie</w:t>
      </w:r>
    </w:p>
    <w:p w14:paraId="32E64875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5.1. Dedykowana półka na akcesoria stanowiąca integralny element konstrukcji.</w:t>
      </w:r>
    </w:p>
    <w:p w14:paraId="477675AA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5.2. Uchwyt/wieszak do montażu monitora dostarczany w komplecie.</w:t>
      </w:r>
    </w:p>
    <w:p w14:paraId="01C7FA26" w14:textId="47C5E288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5.3. Wszystkie elementy montażowe niezbędne do instalacji monitora.</w:t>
      </w:r>
    </w:p>
    <w:p w14:paraId="6FD4375A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>6. Wymagania dodatkowe</w:t>
      </w:r>
    </w:p>
    <w:p w14:paraId="3B5C76B4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6.1. Konstrukcja umożliwiająca montaż monitora interaktywnego o przekątnej minimum 86".</w:t>
      </w:r>
    </w:p>
    <w:p w14:paraId="65429D4C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6.2. Konstrukcja o zwiększonej stabilności przeznaczona do codziennego przemieszczania pomiędzy pomieszczeniami.</w:t>
      </w:r>
    </w:p>
    <w:p w14:paraId="554673D1" w14:textId="77777777" w:rsidR="00771770" w:rsidRPr="007E56CD" w:rsidRDefault="00771770" w:rsidP="00771770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lastRenderedPageBreak/>
        <w:t>7. Gwarancja</w:t>
      </w:r>
    </w:p>
    <w:p w14:paraId="345C072C" w14:textId="1CC40320" w:rsidR="008F4CD5" w:rsidRPr="00F20088" w:rsidRDefault="00771770" w:rsidP="00F20088">
      <w:pPr>
        <w:spacing w:line="360" w:lineRule="auto"/>
        <w:rPr>
          <w:rFonts w:ascii="Aptos" w:hAnsi="Aptos" w:cs="Calibri"/>
          <w:sz w:val="24"/>
          <w:szCs w:val="24"/>
        </w:rPr>
      </w:pPr>
      <w:r w:rsidRPr="007E56CD">
        <w:rPr>
          <w:rFonts w:ascii="Aptos" w:hAnsi="Aptos" w:cs="Calibri"/>
          <w:sz w:val="24"/>
          <w:szCs w:val="24"/>
        </w:rPr>
        <w:t xml:space="preserve">   7.1. Minimum 3 lata gwarancji producenta.</w:t>
      </w:r>
    </w:p>
    <w:p w14:paraId="2238868D" w14:textId="5B0E4966" w:rsidR="00DB638B" w:rsidRPr="000A13AB" w:rsidRDefault="00EF6D52">
      <w:pPr>
        <w:rPr>
          <w:rFonts w:ascii="Aptos" w:eastAsiaTheme="majorEastAsia" w:hAnsi="Aptos" w:cstheme="majorBidi"/>
          <w:b/>
          <w:bCs/>
          <w:sz w:val="24"/>
          <w:szCs w:val="24"/>
        </w:rPr>
      </w:pPr>
      <w:r>
        <w:rPr>
          <w:rFonts w:ascii="Aptos" w:eastAsiaTheme="majorEastAsia" w:hAnsi="Aptos" w:cstheme="majorBidi"/>
          <w:b/>
          <w:bCs/>
          <w:sz w:val="24"/>
          <w:szCs w:val="24"/>
        </w:rPr>
        <w:t>2.</w:t>
      </w:r>
      <w:r w:rsidR="00353A36" w:rsidRPr="000A13AB">
        <w:rPr>
          <w:rFonts w:ascii="Aptos" w:eastAsiaTheme="majorEastAsia" w:hAnsi="Aptos" w:cstheme="majorBidi"/>
          <w:b/>
          <w:bCs/>
          <w:sz w:val="24"/>
          <w:szCs w:val="24"/>
        </w:rPr>
        <w:t xml:space="preserve">3 Zestaw </w:t>
      </w:r>
      <w:r w:rsidR="00881405" w:rsidRPr="000A13AB">
        <w:rPr>
          <w:rFonts w:ascii="Aptos" w:eastAsiaTheme="majorEastAsia" w:hAnsi="Aptos" w:cstheme="majorBidi"/>
          <w:b/>
          <w:bCs/>
          <w:sz w:val="24"/>
          <w:szCs w:val="24"/>
        </w:rPr>
        <w:t>wideokonferencyjny</w:t>
      </w:r>
      <w:r w:rsidR="00D06FA2" w:rsidRPr="00D06FA2">
        <w:rPr>
          <w:rFonts w:ascii="Aptos" w:eastAsiaTheme="majorEastAsia" w:hAnsi="Aptos" w:cstheme="majorBidi"/>
          <w:b/>
          <w:bCs/>
          <w:sz w:val="24"/>
          <w:szCs w:val="24"/>
        </w:rPr>
        <w:t xml:space="preserve"> </w:t>
      </w:r>
      <w:r w:rsidR="00D06FA2" w:rsidRPr="008C779B">
        <w:rPr>
          <w:rFonts w:ascii="Aptos" w:eastAsiaTheme="majorEastAsia" w:hAnsi="Aptos" w:cstheme="majorBidi"/>
          <w:b/>
          <w:bCs/>
          <w:sz w:val="24"/>
          <w:szCs w:val="24"/>
        </w:rPr>
        <w:t>TYPU ALL-IN-ONE</w:t>
      </w:r>
    </w:p>
    <w:p w14:paraId="52B228BC" w14:textId="7409D89E" w:rsidR="00881405" w:rsidRPr="000A13AB" w:rsidRDefault="00DB638B">
      <w:pPr>
        <w:rPr>
          <w:rFonts w:ascii="Aptos" w:eastAsiaTheme="majorEastAsia" w:hAnsi="Aptos" w:cstheme="majorBidi"/>
          <w:b/>
          <w:bCs/>
          <w:sz w:val="24"/>
          <w:szCs w:val="24"/>
        </w:rPr>
      </w:pPr>
      <w:r w:rsidRPr="000A13AB">
        <w:rPr>
          <w:rFonts w:ascii="Aptos" w:eastAsiaTheme="majorEastAsia" w:hAnsi="Aptos" w:cstheme="majorBidi"/>
          <w:b/>
          <w:bCs/>
          <w:sz w:val="24"/>
          <w:szCs w:val="24"/>
        </w:rPr>
        <w:t>(</w:t>
      </w:r>
      <w:r w:rsidR="003641F8">
        <w:rPr>
          <w:rFonts w:ascii="Aptos" w:eastAsiaTheme="majorEastAsia" w:hAnsi="Aptos" w:cstheme="majorBidi"/>
          <w:b/>
          <w:bCs/>
          <w:sz w:val="24"/>
          <w:szCs w:val="24"/>
        </w:rPr>
        <w:t>wideobar</w:t>
      </w:r>
      <w:r w:rsidR="00973485" w:rsidRPr="000A13AB">
        <w:rPr>
          <w:rFonts w:ascii="Aptos" w:eastAsiaTheme="majorEastAsia" w:hAnsi="Aptos" w:cstheme="majorBidi"/>
          <w:b/>
          <w:bCs/>
          <w:sz w:val="24"/>
          <w:szCs w:val="24"/>
        </w:rPr>
        <w:t xml:space="preserve"> wraz z </w:t>
      </w:r>
      <w:r w:rsidR="00881405" w:rsidRPr="000A13AB">
        <w:rPr>
          <w:rFonts w:ascii="Aptos" w:eastAsiaTheme="majorEastAsia" w:hAnsi="Aptos" w:cstheme="majorBidi"/>
          <w:b/>
          <w:bCs/>
          <w:sz w:val="24"/>
          <w:szCs w:val="24"/>
        </w:rPr>
        <w:t>panel</w:t>
      </w:r>
      <w:r w:rsidR="00973485" w:rsidRPr="000A13AB">
        <w:rPr>
          <w:rFonts w:ascii="Aptos" w:eastAsiaTheme="majorEastAsia" w:hAnsi="Aptos" w:cstheme="majorBidi"/>
          <w:b/>
          <w:bCs/>
          <w:sz w:val="24"/>
          <w:szCs w:val="24"/>
        </w:rPr>
        <w:t>em</w:t>
      </w:r>
      <w:r w:rsidR="00881405" w:rsidRPr="000A13AB">
        <w:rPr>
          <w:rFonts w:ascii="Aptos" w:eastAsiaTheme="majorEastAsia" w:hAnsi="Aptos" w:cstheme="majorBidi"/>
          <w:b/>
          <w:bCs/>
          <w:sz w:val="24"/>
          <w:szCs w:val="24"/>
        </w:rPr>
        <w:t xml:space="preserve"> dotykow</w:t>
      </w:r>
      <w:r w:rsidR="00973485" w:rsidRPr="000A13AB">
        <w:rPr>
          <w:rFonts w:ascii="Aptos" w:eastAsiaTheme="majorEastAsia" w:hAnsi="Aptos" w:cstheme="majorBidi"/>
          <w:b/>
          <w:bCs/>
          <w:sz w:val="24"/>
          <w:szCs w:val="24"/>
        </w:rPr>
        <w:t xml:space="preserve">ym </w:t>
      </w:r>
      <w:r w:rsidR="000A13AB" w:rsidRPr="000A13AB">
        <w:rPr>
          <w:rFonts w:ascii="Aptos" w:eastAsiaTheme="majorEastAsia" w:hAnsi="Aptos" w:cstheme="majorBidi"/>
          <w:b/>
          <w:bCs/>
          <w:sz w:val="24"/>
          <w:szCs w:val="24"/>
        </w:rPr>
        <w:t>oraz a</w:t>
      </w:r>
      <w:r w:rsidR="00881405" w:rsidRPr="000A13AB">
        <w:rPr>
          <w:rFonts w:ascii="Aptos" w:eastAsiaTheme="majorEastAsia" w:hAnsi="Aptos" w:cstheme="majorBidi"/>
          <w:b/>
          <w:bCs/>
          <w:sz w:val="24"/>
          <w:szCs w:val="24"/>
        </w:rPr>
        <w:t>dapter</w:t>
      </w:r>
      <w:r w:rsidR="000A13AB" w:rsidRPr="000A13AB">
        <w:rPr>
          <w:rFonts w:ascii="Aptos" w:eastAsiaTheme="majorEastAsia" w:hAnsi="Aptos" w:cstheme="majorBidi"/>
          <w:b/>
          <w:bCs/>
          <w:sz w:val="24"/>
          <w:szCs w:val="24"/>
        </w:rPr>
        <w:t>em</w:t>
      </w:r>
      <w:r w:rsidR="00881405" w:rsidRPr="000A13AB">
        <w:rPr>
          <w:rFonts w:ascii="Aptos" w:eastAsiaTheme="majorEastAsia" w:hAnsi="Aptos" w:cstheme="majorBidi"/>
          <w:b/>
          <w:bCs/>
          <w:sz w:val="24"/>
          <w:szCs w:val="24"/>
        </w:rPr>
        <w:t xml:space="preserve"> </w:t>
      </w:r>
      <w:r w:rsidR="006C298F" w:rsidRPr="000A13AB">
        <w:rPr>
          <w:rFonts w:ascii="Aptos" w:eastAsiaTheme="majorEastAsia" w:hAnsi="Aptos" w:cstheme="majorBidi"/>
          <w:b/>
          <w:bCs/>
          <w:sz w:val="24"/>
          <w:szCs w:val="24"/>
        </w:rPr>
        <w:t>do transmisji</w:t>
      </w:r>
      <w:r w:rsidR="000A13AB" w:rsidRPr="000A13AB">
        <w:rPr>
          <w:rFonts w:ascii="Aptos" w:eastAsiaTheme="majorEastAsia" w:hAnsi="Aptos" w:cstheme="majorBidi"/>
          <w:b/>
          <w:bCs/>
          <w:sz w:val="24"/>
          <w:szCs w:val="24"/>
        </w:rPr>
        <w:t xml:space="preserve"> bezprzewodowej)</w:t>
      </w:r>
      <w:r w:rsidR="000F7840">
        <w:rPr>
          <w:rFonts w:ascii="Aptos" w:eastAsiaTheme="majorEastAsia" w:hAnsi="Aptos" w:cstheme="majorBidi"/>
          <w:b/>
          <w:bCs/>
          <w:sz w:val="24"/>
          <w:szCs w:val="24"/>
        </w:rPr>
        <w:t>.</w:t>
      </w:r>
    </w:p>
    <w:p w14:paraId="5372CF72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1. Przedmiot zamówienia</w:t>
      </w:r>
    </w:p>
    <w:p w14:paraId="7C42F499" w14:textId="56558B90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1.1. Dostawa kompletnego zestawu do prowadzenia wideokonferencji składającego się z:</w:t>
      </w:r>
      <w:r w:rsidRPr="003641F8">
        <w:rPr>
          <w:rFonts w:ascii="Aptos" w:eastAsiaTheme="majorEastAsia" w:hAnsi="Aptos" w:cstheme="majorBidi"/>
          <w:sz w:val="24"/>
          <w:szCs w:val="24"/>
        </w:rPr>
        <w:t xml:space="preserve"> wideobara typu all-in-one,</w:t>
      </w:r>
      <w:r w:rsidRPr="00BF1669">
        <w:rPr>
          <w:rFonts w:ascii="Aptos" w:eastAsiaTheme="majorEastAsia" w:hAnsi="Aptos" w:cstheme="majorBidi"/>
          <w:sz w:val="24"/>
          <w:szCs w:val="24"/>
        </w:rPr>
        <w:t xml:space="preserve"> przewodowego panelu dotykowego do sterowania systemem, bezprzewodowego adaptera do udostępniania obrazu.</w:t>
      </w:r>
    </w:p>
    <w:p w14:paraId="55415307" w14:textId="072D4CDC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2. Wideobar</w:t>
      </w:r>
    </w:p>
    <w:p w14:paraId="1AF66B12" w14:textId="4164F31E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2.1. Urządzenie typu all-in-one integrujące kamerę, mikrofony, głośniki oraz system konferencyjny.</w:t>
      </w:r>
    </w:p>
    <w:p w14:paraId="2ABD6887" w14:textId="5F338043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2.2. System operacyjny:</w:t>
      </w:r>
    </w:p>
    <w:p w14:paraId="3F5FBB77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Android 13 lub nowszy,</w:t>
      </w:r>
    </w:p>
    <w:p w14:paraId="761D5915" w14:textId="1758C546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zgodność z Microsoft Device Ecosystem Platform (MDEP).</w:t>
      </w:r>
    </w:p>
    <w:p w14:paraId="207F5AA3" w14:textId="5E89FDC9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2.3. Kamera:</w:t>
      </w:r>
    </w:p>
    <w:p w14:paraId="50C4D9F5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minimum 2 wbudowane przetworniki obrazu,</w:t>
      </w:r>
    </w:p>
    <w:p w14:paraId="2AEA756E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rozdzielczość każdego przetwornika minimum 48 MP,</w:t>
      </w:r>
    </w:p>
    <w:p w14:paraId="7FA7C63D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maksymalna rozdzielczość obrazu 4K UHD,</w:t>
      </w:r>
    </w:p>
    <w:p w14:paraId="626D04B9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pole widzenia minimum 120° (DFOV),</w:t>
      </w:r>
    </w:p>
    <w:p w14:paraId="0B5B2313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minimum 6-krotny zoom cyfrowy,</w:t>
      </w:r>
    </w:p>
    <w:p w14:paraId="425D38AA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automatyczne kadrowanie uczestników,</w:t>
      </w:r>
    </w:p>
    <w:p w14:paraId="0D53A468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automatyczne śledzenie mówcy,</w:t>
      </w:r>
    </w:p>
    <w:p w14:paraId="5CD6EAAB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funkcja IntelliFocus lub równoważna umożliwiająca automatyczne wyświetlanie aktywnych uczestników,</w:t>
      </w:r>
    </w:p>
    <w:p w14:paraId="555C0A1F" w14:textId="673E4DCA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elektryczna osłona prywatności obiektywu.</w:t>
      </w:r>
    </w:p>
    <w:p w14:paraId="7A7B16A1" w14:textId="533231EF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2.4. Audio:</w:t>
      </w:r>
    </w:p>
    <w:p w14:paraId="5F200B5C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minimum 8 mikrofonów MEMS,</w:t>
      </w:r>
    </w:p>
    <w:p w14:paraId="6B609F69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zasięg przechwytywania głosu minimum 6 metrów,</w:t>
      </w:r>
    </w:p>
    <w:p w14:paraId="74D07AEC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pełny dupleks,</w:t>
      </w:r>
    </w:p>
    <w:p w14:paraId="7D08B2A1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eliminacja echa akustycznego (AEC),</w:t>
      </w:r>
    </w:p>
    <w:p w14:paraId="51B9D747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automatyczna regulacja wzmocnienia (AGC),</w:t>
      </w:r>
    </w:p>
    <w:p w14:paraId="6184A452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inteligentna redukcja szumów wspomagana AI,</w:t>
      </w:r>
    </w:p>
    <w:p w14:paraId="09668504" w14:textId="7B5F69FD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lastRenderedPageBreak/>
        <w:t>* minimum 2 wbudowane głośniki stereo.</w:t>
      </w:r>
    </w:p>
    <w:p w14:paraId="36415685" w14:textId="1B5EB892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2.5. Łączność:</w:t>
      </w:r>
    </w:p>
    <w:p w14:paraId="03A10064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Wi-Fi 6,</w:t>
      </w:r>
    </w:p>
    <w:p w14:paraId="5298A829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Bluetooth 5.0 lub nowszy,</w:t>
      </w:r>
    </w:p>
    <w:p w14:paraId="2A257AC5" w14:textId="7448DA79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  <w:lang w:val="en-GB"/>
        </w:rPr>
      </w:pPr>
      <w:r w:rsidRPr="00BF1669">
        <w:rPr>
          <w:rFonts w:ascii="Aptos" w:eastAsiaTheme="majorEastAsia" w:hAnsi="Aptos" w:cstheme="majorBidi"/>
          <w:sz w:val="24"/>
          <w:szCs w:val="24"/>
          <w:lang w:val="en-GB"/>
        </w:rPr>
        <w:t>* Ethernet 10/100/1000 Mbps.</w:t>
      </w:r>
    </w:p>
    <w:p w14:paraId="0A61E83E" w14:textId="32E1FB8B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  <w:lang w:val="en-GB"/>
        </w:rPr>
      </w:pPr>
      <w:r w:rsidRPr="00BF1669">
        <w:rPr>
          <w:rFonts w:ascii="Aptos" w:eastAsiaTheme="majorEastAsia" w:hAnsi="Aptos" w:cstheme="majorBidi"/>
          <w:sz w:val="24"/>
          <w:szCs w:val="24"/>
          <w:lang w:val="en-GB"/>
        </w:rPr>
        <w:t>2.6. Interfejsy:</w:t>
      </w:r>
    </w:p>
    <w:p w14:paraId="69175655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  <w:lang w:val="en-GB"/>
        </w:rPr>
      </w:pPr>
      <w:r w:rsidRPr="00BF1669">
        <w:rPr>
          <w:rFonts w:ascii="Aptos" w:eastAsiaTheme="majorEastAsia" w:hAnsi="Aptos" w:cstheme="majorBidi"/>
          <w:sz w:val="24"/>
          <w:szCs w:val="24"/>
          <w:lang w:val="en-GB"/>
        </w:rPr>
        <w:t>* minimum 2 wyjścia HDMI,</w:t>
      </w:r>
    </w:p>
    <w:p w14:paraId="3F57E37B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minimum 1 port USB-A,</w:t>
      </w:r>
    </w:p>
    <w:p w14:paraId="29BEAF0A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minimum 3 porty USB-C,</w:t>
      </w:r>
    </w:p>
    <w:p w14:paraId="134DE5CE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port sieciowy RJ45,</w:t>
      </w:r>
    </w:p>
    <w:p w14:paraId="2E75DB24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  <w:lang w:val="en-GB"/>
        </w:rPr>
      </w:pPr>
      <w:r w:rsidRPr="00BF1669">
        <w:rPr>
          <w:rFonts w:ascii="Aptos" w:eastAsiaTheme="majorEastAsia" w:hAnsi="Aptos" w:cstheme="majorBidi"/>
          <w:sz w:val="24"/>
          <w:szCs w:val="24"/>
          <w:lang w:val="en-GB"/>
        </w:rPr>
        <w:t>* port audio Line In/Out 3,5 mm,</w:t>
      </w:r>
    </w:p>
    <w:p w14:paraId="05A47FEC" w14:textId="2456A0EC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dedykowany port komunikacyjny dla panelu sterującego.</w:t>
      </w:r>
    </w:p>
    <w:p w14:paraId="3DDC5A39" w14:textId="15733F2B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2.7. Funkcjonalność:</w:t>
      </w:r>
    </w:p>
    <w:p w14:paraId="497E0C35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natywna obsługa Microsoft Teams Rooms,</w:t>
      </w:r>
    </w:p>
    <w:p w14:paraId="03A71C62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natywna obsługa Zoom Rooms,</w:t>
      </w:r>
    </w:p>
    <w:p w14:paraId="3CF887E2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możliwość pracy w trybie BYOD,</w:t>
      </w:r>
    </w:p>
    <w:p w14:paraId="2581D05B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możliwość centralnego zarządzania urządzeniem,</w:t>
      </w:r>
    </w:p>
    <w:p w14:paraId="57AD9386" w14:textId="7F6D881D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możliwość zdalnych aktualizacji oprogramowania.</w:t>
      </w:r>
    </w:p>
    <w:p w14:paraId="05CA11E4" w14:textId="0BFD46A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3. Panel sterujący</w:t>
      </w:r>
    </w:p>
    <w:p w14:paraId="5B69A86F" w14:textId="71CE560C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3.1. Dedykowany panel dotykowy współpracujący z oferowanym wideobarem.</w:t>
      </w:r>
    </w:p>
    <w:p w14:paraId="7780EAA5" w14:textId="3426095C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3.2. Parametry:</w:t>
      </w:r>
    </w:p>
    <w:p w14:paraId="27B6C37D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ekran dotykowy minimum 10 cali,</w:t>
      </w:r>
    </w:p>
    <w:p w14:paraId="29765C84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rozdzielczość minimum 1280 × 800,</w:t>
      </w:r>
    </w:p>
    <w:p w14:paraId="3CC80015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pojedyncze logowanie do systemu konferencyjnego realizowane za pośrednictwem panelu,</w:t>
      </w:r>
    </w:p>
    <w:p w14:paraId="5FB7EE15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przewodowa komunikacja z wideobarem,</w:t>
      </w:r>
    </w:p>
    <w:p w14:paraId="579FC375" w14:textId="21667450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możliwość rozpoczynania, kończenia i zarządzania spotkaniami.</w:t>
      </w:r>
    </w:p>
    <w:p w14:paraId="3691FA0F" w14:textId="5B1BD414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4. Bezprzewodowy adapter prezentacyjny</w:t>
      </w:r>
    </w:p>
    <w:p w14:paraId="52E65721" w14:textId="16B2C6C0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4.1. Adapter USB umożliwiający bezprzewodowe udostępnianie obrazu.</w:t>
      </w:r>
    </w:p>
    <w:p w14:paraId="24D76DCC" w14:textId="7F4A03FB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4.2. Parametry:</w:t>
      </w:r>
    </w:p>
    <w:p w14:paraId="779C03F9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współpraca z oferowanym wideobarem bez konieczności instalacji dodatkowego oprogramowania,</w:t>
      </w:r>
    </w:p>
    <w:p w14:paraId="375151A2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transmisja obrazu w rozdzielczości do 4K,</w:t>
      </w:r>
    </w:p>
    <w:p w14:paraId="45B5762A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lastRenderedPageBreak/>
        <w:t>* technologia Wi-Fi 6,</w:t>
      </w:r>
    </w:p>
    <w:p w14:paraId="5D82F994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funkcja Plug &amp; Play,</w:t>
      </w:r>
    </w:p>
    <w:p w14:paraId="04AD982F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możliwość bezprzewodowego udostępniania obrazu po podłączeniu adaptera do komputera,</w:t>
      </w:r>
    </w:p>
    <w:p w14:paraId="1AE70957" w14:textId="61920C5F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* transmisja audio i wideo.</w:t>
      </w:r>
    </w:p>
    <w:p w14:paraId="2F2EFE08" w14:textId="0EDF86E2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5. Wyposażenie</w:t>
      </w:r>
    </w:p>
    <w:p w14:paraId="38D45212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5.1. Wideobar.</w:t>
      </w:r>
    </w:p>
    <w:p w14:paraId="445D5C39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5.2. Panel dotykowy.</w:t>
      </w:r>
    </w:p>
    <w:p w14:paraId="4CA7CED2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5.3. Bezprzewodowy adapter prezentacyjny.</w:t>
      </w:r>
    </w:p>
    <w:p w14:paraId="5CB63F81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5.4. Komplet uchwytów montażowych producenta.</w:t>
      </w:r>
    </w:p>
    <w:p w14:paraId="56AF234F" w14:textId="77777777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5.5. Okablowanie niezbędne do uruchomienia systemu.</w:t>
      </w:r>
    </w:p>
    <w:p w14:paraId="194A8B83" w14:textId="2FC7178C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5.6. Zasilacze producenta.</w:t>
      </w:r>
    </w:p>
    <w:p w14:paraId="5B86E25D" w14:textId="4A6B90BF" w:rsidR="00956473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6. Gwarancja</w:t>
      </w:r>
    </w:p>
    <w:p w14:paraId="11BC7C9F" w14:textId="60A6F3A8" w:rsidR="00F20088" w:rsidRPr="00BF1669" w:rsidRDefault="00956473" w:rsidP="00956473">
      <w:pPr>
        <w:rPr>
          <w:rFonts w:ascii="Aptos" w:eastAsiaTheme="majorEastAsia" w:hAnsi="Aptos" w:cstheme="majorBidi"/>
          <w:sz w:val="24"/>
          <w:szCs w:val="24"/>
        </w:rPr>
      </w:pPr>
      <w:r w:rsidRPr="00BF1669">
        <w:rPr>
          <w:rFonts w:ascii="Aptos" w:eastAsiaTheme="majorEastAsia" w:hAnsi="Aptos" w:cstheme="majorBidi"/>
          <w:sz w:val="24"/>
          <w:szCs w:val="24"/>
        </w:rPr>
        <w:t>6.1. Minimum 24 miesiące gwarancji producenta.</w:t>
      </w:r>
    </w:p>
    <w:p w14:paraId="7D304E58" w14:textId="77777777" w:rsidR="00F20088" w:rsidRDefault="00F20088">
      <w:pPr>
        <w:rPr>
          <w:rFonts w:ascii="Aptos" w:eastAsiaTheme="majorEastAsia" w:hAnsi="Aptos" w:cstheme="majorBidi"/>
          <w:sz w:val="24"/>
          <w:szCs w:val="24"/>
        </w:rPr>
      </w:pPr>
    </w:p>
    <w:p w14:paraId="51D35B73" w14:textId="65DEB78D" w:rsidR="000471C4" w:rsidRPr="00104095" w:rsidRDefault="00104095" w:rsidP="000471C4">
      <w:pPr>
        <w:rPr>
          <w:rFonts w:ascii="Aptos" w:eastAsiaTheme="majorEastAsia" w:hAnsi="Aptos" w:cstheme="majorBidi"/>
          <w:b/>
          <w:bCs/>
          <w:sz w:val="24"/>
          <w:szCs w:val="24"/>
        </w:rPr>
      </w:pPr>
      <w:r>
        <w:rPr>
          <w:rFonts w:ascii="Aptos" w:eastAsiaTheme="majorEastAsia" w:hAnsi="Aptos" w:cstheme="majorBidi"/>
          <w:b/>
          <w:bCs/>
          <w:sz w:val="24"/>
          <w:szCs w:val="24"/>
        </w:rPr>
        <w:t xml:space="preserve">2.4. </w:t>
      </w:r>
      <w:r w:rsidRPr="00104095">
        <w:rPr>
          <w:rFonts w:ascii="Aptos" w:eastAsiaTheme="majorEastAsia" w:hAnsi="Aptos" w:cstheme="majorBidi"/>
          <w:b/>
          <w:bCs/>
          <w:sz w:val="24"/>
          <w:szCs w:val="24"/>
        </w:rPr>
        <w:t>Wymagane usługi i akcesoria</w:t>
      </w:r>
      <w:r>
        <w:rPr>
          <w:rFonts w:ascii="Aptos" w:eastAsiaTheme="majorEastAsia" w:hAnsi="Aptos" w:cstheme="majorBidi"/>
          <w:b/>
          <w:bCs/>
          <w:sz w:val="24"/>
          <w:szCs w:val="24"/>
        </w:rPr>
        <w:t xml:space="preserve"> </w:t>
      </w:r>
      <w:r w:rsidRPr="00104095">
        <w:rPr>
          <w:rFonts w:ascii="Aptos" w:eastAsiaTheme="majorEastAsia" w:hAnsi="Aptos" w:cstheme="majorBidi"/>
          <w:b/>
          <w:bCs/>
          <w:sz w:val="24"/>
          <w:szCs w:val="24"/>
        </w:rPr>
        <w:t>instalacyjne</w:t>
      </w:r>
    </w:p>
    <w:p w14:paraId="1BE9C0B5" w14:textId="234EF1AD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1. Dostawa</w:t>
      </w:r>
    </w:p>
    <w:p w14:paraId="7192AF66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1.1. Wykonawca dostarczy wszystkie oferowane urządzenia do siedziby Zamawiającego.</w:t>
      </w:r>
    </w:p>
    <w:p w14:paraId="235FDF7B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1.2. Transport, wniesienie, rozpakowanie oraz zabezpieczenie miejsca montażu leży po stronie Wykonawcy.</w:t>
      </w:r>
    </w:p>
    <w:p w14:paraId="06C6FFFF" w14:textId="4E359509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1.3. Wszystkie dostarczone urządzenia muszą być fabrycznie nowe, nieużywane, pochodzić z oficjalnego kanału dystrybucji producenta na rynek Unii Europejskiej.</w:t>
      </w:r>
    </w:p>
    <w:p w14:paraId="0979DB73" w14:textId="0F756CBD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2. Montaż</w:t>
      </w:r>
    </w:p>
    <w:p w14:paraId="22E49316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2.1. Wykonawca wykona kompletny montaż wszystkich dostarczonych urządzeń w miejscu wskazanym przez Zamawiającego.</w:t>
      </w:r>
    </w:p>
    <w:p w14:paraId="2467A884" w14:textId="5921D0EB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2.2. Montaż obejmuje:</w:t>
      </w:r>
    </w:p>
    <w:p w14:paraId="37B8933D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montaż monitora interaktywnego na dostarczonym statywie mobilnym,</w:t>
      </w:r>
    </w:p>
    <w:p w14:paraId="3EF56958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montaż wideobara nad monitorem lub bezpośrednio do monitora przy użyciu dedykowanego uchwytu producenta,</w:t>
      </w:r>
    </w:p>
    <w:p w14:paraId="67D73B2B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montaż panelu sterującego,</w:t>
      </w:r>
    </w:p>
    <w:p w14:paraId="4705D788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wykonanie wszystkich połączeń sygnałowych i zasilających,</w:t>
      </w:r>
    </w:p>
    <w:p w14:paraId="62BF8F19" w14:textId="1BBC05B1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uporządkowanie oraz zabezpieczenie okablowania.</w:t>
      </w:r>
    </w:p>
    <w:p w14:paraId="0F8D6E35" w14:textId="11C88EB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3. Uruchomienie i konfiguracja</w:t>
      </w:r>
    </w:p>
    <w:p w14:paraId="3FC9A3F2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3.1. Wykonawca uruchomi dostarczony system i potwierdzi jego poprawne działanie.</w:t>
      </w:r>
    </w:p>
    <w:p w14:paraId="56B4F940" w14:textId="4D02192A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lastRenderedPageBreak/>
        <w:t>3.2. W ramach uruchomienia Wykonawca wykona co najmniej:</w:t>
      </w:r>
    </w:p>
    <w:p w14:paraId="77CAE231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aktualizację oprogramowania urządzeń do najnowszej dostępnej wersji,</w:t>
      </w:r>
    </w:p>
    <w:p w14:paraId="3D5458C1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konfigurację połączenia sieciowego,</w:t>
      </w:r>
    </w:p>
    <w:p w14:paraId="67DDAD9E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konfigurację systemu wideokonferencyjnego Microsoft Teams Rooms,</w:t>
      </w:r>
    </w:p>
    <w:p w14:paraId="3E5A6782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konfigurację panelu sterującego,</w:t>
      </w:r>
    </w:p>
    <w:p w14:paraId="2D41A94A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konfigurację funkcji bezprzewodowego udostępniania obrazu,</w:t>
      </w:r>
    </w:p>
    <w:p w14:paraId="4B08452A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test połączeń audio i wideo,</w:t>
      </w:r>
    </w:p>
    <w:p w14:paraId="45E7064B" w14:textId="6F2DC011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test współpracy wszystkich elementów zestawu.</w:t>
      </w:r>
    </w:p>
    <w:p w14:paraId="6F65CD2F" w14:textId="6D49298C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4. Okablowanie i akcesoria instalacyjne</w:t>
      </w:r>
    </w:p>
    <w:p w14:paraId="797CD540" w14:textId="7CA86A8B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4.1. Wykonawca dostarczy wszystkie akcesoria niezbędne do prawidłowego działania systemu.</w:t>
      </w:r>
    </w:p>
    <w:p w14:paraId="4101CE58" w14:textId="1CBA6780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4.2. W skład wyposażenia muszą wchodzić co najmniej:</w:t>
      </w:r>
    </w:p>
    <w:p w14:paraId="60920FBA" w14:textId="163FD03E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a) listwa zasilająca:</w:t>
      </w:r>
    </w:p>
    <w:p w14:paraId="5E7231F4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minimum 5 gniazd z uziemieniem,</w:t>
      </w:r>
    </w:p>
    <w:p w14:paraId="5DF3403F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długość przewodu minimum 3 m,</w:t>
      </w:r>
    </w:p>
    <w:p w14:paraId="5BB450A7" w14:textId="68D8DB24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zabezpieczenie przeciwprzepięciowe,</w:t>
      </w:r>
    </w:p>
    <w:p w14:paraId="6B998549" w14:textId="7C08ADAD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b) przewód sieciowy:</w:t>
      </w:r>
    </w:p>
    <w:p w14:paraId="7B9B39ED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patchcord kategorii minimum Cat.6A,</w:t>
      </w:r>
    </w:p>
    <w:p w14:paraId="5BAF9771" w14:textId="6A6D4044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długość minimum 3 m,</w:t>
      </w:r>
    </w:p>
    <w:p w14:paraId="2D61A174" w14:textId="36C84924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c) przewód HDMI:</w:t>
      </w:r>
    </w:p>
    <w:p w14:paraId="157BA2A7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standard HDMI 2.0 lub wyższy,</w:t>
      </w:r>
    </w:p>
    <w:p w14:paraId="431BAD65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obsługa rozdzielczości 4K UHD 60 Hz,</w:t>
      </w:r>
    </w:p>
    <w:p w14:paraId="4E279414" w14:textId="6CB73D26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 xml:space="preserve">* długość minimum </w:t>
      </w:r>
      <w:r w:rsidR="00B358BF">
        <w:rPr>
          <w:rFonts w:ascii="Aptos" w:eastAsiaTheme="majorEastAsia" w:hAnsi="Aptos" w:cstheme="majorBidi"/>
          <w:sz w:val="24"/>
          <w:szCs w:val="24"/>
        </w:rPr>
        <w:t>3</w:t>
      </w:r>
      <w:r w:rsidRPr="000471C4">
        <w:rPr>
          <w:rFonts w:ascii="Aptos" w:eastAsiaTheme="majorEastAsia" w:hAnsi="Aptos" w:cstheme="majorBidi"/>
          <w:sz w:val="24"/>
          <w:szCs w:val="24"/>
        </w:rPr>
        <w:t xml:space="preserve"> m,</w:t>
      </w:r>
    </w:p>
    <w:p w14:paraId="4B4EA742" w14:textId="4FA643B8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d) uchwyt do wideobara:</w:t>
      </w:r>
    </w:p>
    <w:p w14:paraId="23735ABB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dedykowany do oferowanego urządzenia wideokonferencyjnego,</w:t>
      </w:r>
    </w:p>
    <w:p w14:paraId="1B6C83EA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umożliwiający stabilny montaż nad monitorem lub bezpośrednio na monitorze,</w:t>
      </w:r>
    </w:p>
    <w:p w14:paraId="7589A98F" w14:textId="17B5576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pochodzący od producenta urządzenia lub producenta rekomendowanego przez producenta urządzenia.</w:t>
      </w:r>
    </w:p>
    <w:p w14:paraId="14225829" w14:textId="63A5012B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5. Dokumentacja</w:t>
      </w:r>
    </w:p>
    <w:p w14:paraId="049CD77E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5.1. Wykonawca przekaże instrukcje użytkownika w języku polskim lub angielskim.</w:t>
      </w:r>
    </w:p>
    <w:p w14:paraId="78CC9613" w14:textId="2B5299F2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5.2. Wykonawca przekaże dokumenty gwarancyjne dla wszystkich dostarczonych elementów.</w:t>
      </w:r>
    </w:p>
    <w:p w14:paraId="15409164" w14:textId="331450E5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6. Odbiór</w:t>
      </w:r>
    </w:p>
    <w:p w14:paraId="18C54A17" w14:textId="0410749B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lastRenderedPageBreak/>
        <w:t>6.1. Warunkiem odbioru będzie podpisanie protokołu odbioru potwierdzającego:</w:t>
      </w:r>
    </w:p>
    <w:p w14:paraId="63B81218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dostawę wszystkich elementów zamówienia,</w:t>
      </w:r>
    </w:p>
    <w:p w14:paraId="279B1656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prawidłowy montaż,</w:t>
      </w:r>
    </w:p>
    <w:p w14:paraId="03B49F23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poprawne działanie monitora interaktywnego,</w:t>
      </w:r>
    </w:p>
    <w:p w14:paraId="4349B68A" w14:textId="77777777" w:rsidR="000471C4" w:rsidRP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poprawne działanie systemu wideokonferencyjnego,</w:t>
      </w:r>
    </w:p>
    <w:p w14:paraId="36ECF87D" w14:textId="7DECA824" w:rsidR="000471C4" w:rsidRDefault="000471C4" w:rsidP="000471C4">
      <w:pPr>
        <w:rPr>
          <w:rFonts w:ascii="Aptos" w:eastAsiaTheme="majorEastAsia" w:hAnsi="Aptos" w:cstheme="majorBidi"/>
          <w:sz w:val="24"/>
          <w:szCs w:val="24"/>
        </w:rPr>
      </w:pPr>
      <w:r w:rsidRPr="000471C4">
        <w:rPr>
          <w:rFonts w:ascii="Aptos" w:eastAsiaTheme="majorEastAsia" w:hAnsi="Aptos" w:cstheme="majorBidi"/>
          <w:sz w:val="24"/>
          <w:szCs w:val="24"/>
        </w:rPr>
        <w:t>* poprawne działanie funkcji bezprzewodowej prezentacji.</w:t>
      </w:r>
    </w:p>
    <w:p w14:paraId="7A1F7F7C" w14:textId="77777777" w:rsidR="000471C4" w:rsidRPr="00BF1669" w:rsidRDefault="000471C4">
      <w:pPr>
        <w:rPr>
          <w:rFonts w:ascii="Aptos" w:eastAsiaTheme="majorEastAsia" w:hAnsi="Aptos" w:cstheme="majorBidi"/>
          <w:sz w:val="24"/>
          <w:szCs w:val="24"/>
        </w:rPr>
      </w:pPr>
    </w:p>
    <w:p w14:paraId="67EE4A92" w14:textId="77777777" w:rsidR="005F3BF6" w:rsidRPr="000A13AB" w:rsidRDefault="005F3BF6" w:rsidP="00922D0F">
      <w:pPr>
        <w:pStyle w:val="Nagwek2"/>
        <w:spacing w:before="0" w:line="360" w:lineRule="auto"/>
        <w:rPr>
          <w:rFonts w:ascii="Aptos" w:hAnsi="Aptos"/>
          <w:sz w:val="24"/>
          <w:szCs w:val="24"/>
        </w:rPr>
      </w:pPr>
    </w:p>
    <w:p w14:paraId="4166C4CD" w14:textId="77777777" w:rsidR="008265AE" w:rsidRPr="000A13AB" w:rsidRDefault="008265AE" w:rsidP="008265AE">
      <w:pPr>
        <w:rPr>
          <w:rFonts w:ascii="Aptos" w:hAnsi="Aptos"/>
          <w:sz w:val="24"/>
          <w:szCs w:val="24"/>
        </w:rPr>
        <w:sectPr w:rsidR="008265AE" w:rsidRPr="000A13AB" w:rsidSect="00A07C69">
          <w:headerReference w:type="default" r:id="rId10"/>
          <w:footerReference w:type="default" r:id="rId11"/>
          <w:pgSz w:w="11906" w:h="16838"/>
          <w:pgMar w:top="1417" w:right="1417" w:bottom="1417" w:left="1417" w:header="284" w:footer="179" w:gutter="0"/>
          <w:cols w:space="708"/>
          <w:docGrid w:linePitch="360"/>
        </w:sectPr>
      </w:pPr>
    </w:p>
    <w:p w14:paraId="3AD34118" w14:textId="70E820E1" w:rsidR="00B5319A" w:rsidRPr="000A13AB" w:rsidRDefault="00190133" w:rsidP="00922D0F">
      <w:pPr>
        <w:pStyle w:val="Nagwek2"/>
        <w:spacing w:before="0" w:line="360" w:lineRule="auto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lastRenderedPageBreak/>
        <w:t>Formularz cenowy:</w:t>
      </w:r>
    </w:p>
    <w:tbl>
      <w:tblPr>
        <w:tblStyle w:val="Tabela-Siatka"/>
        <w:tblW w:w="15171" w:type="dxa"/>
        <w:jc w:val="center"/>
        <w:tblLook w:val="04A0" w:firstRow="1" w:lastRow="0" w:firstColumn="1" w:lastColumn="0" w:noHBand="0" w:noVBand="1"/>
      </w:tblPr>
      <w:tblGrid>
        <w:gridCol w:w="708"/>
        <w:gridCol w:w="2278"/>
        <w:gridCol w:w="2460"/>
        <w:gridCol w:w="1666"/>
        <w:gridCol w:w="1671"/>
        <w:gridCol w:w="851"/>
        <w:gridCol w:w="1284"/>
        <w:gridCol w:w="1387"/>
        <w:gridCol w:w="1430"/>
        <w:gridCol w:w="1436"/>
      </w:tblGrid>
      <w:tr w:rsidR="005F3BF6" w:rsidRPr="000A13AB" w14:paraId="40A817BF" w14:textId="77777777" w:rsidTr="00337375">
        <w:trPr>
          <w:trHeight w:val="926"/>
          <w:tblHeader/>
          <w:jc w:val="center"/>
        </w:trPr>
        <w:tc>
          <w:tcPr>
            <w:tcW w:w="708" w:type="dxa"/>
            <w:noWrap/>
            <w:vAlign w:val="center"/>
            <w:hideMark/>
          </w:tcPr>
          <w:p w14:paraId="5F3431BE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Lp.</w:t>
            </w:r>
          </w:p>
        </w:tc>
        <w:tc>
          <w:tcPr>
            <w:tcW w:w="1844" w:type="dxa"/>
            <w:noWrap/>
            <w:vAlign w:val="center"/>
            <w:hideMark/>
          </w:tcPr>
          <w:p w14:paraId="70653ECE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Opis</w:t>
            </w:r>
          </w:p>
        </w:tc>
        <w:tc>
          <w:tcPr>
            <w:tcW w:w="2659" w:type="dxa"/>
            <w:vAlign w:val="center"/>
          </w:tcPr>
          <w:p w14:paraId="77275D8B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Oferowany model, typ</w:t>
            </w:r>
          </w:p>
        </w:tc>
        <w:tc>
          <w:tcPr>
            <w:tcW w:w="1725" w:type="dxa"/>
            <w:vAlign w:val="center"/>
          </w:tcPr>
          <w:p w14:paraId="3C3C8F50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Producent</w:t>
            </w:r>
          </w:p>
        </w:tc>
        <w:tc>
          <w:tcPr>
            <w:tcW w:w="1711" w:type="dxa"/>
            <w:vAlign w:val="center"/>
          </w:tcPr>
          <w:p w14:paraId="7A52C69A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Numer katalogowy</w:t>
            </w:r>
          </w:p>
        </w:tc>
        <w:tc>
          <w:tcPr>
            <w:tcW w:w="851" w:type="dxa"/>
            <w:noWrap/>
            <w:vAlign w:val="center"/>
            <w:hideMark/>
          </w:tcPr>
          <w:p w14:paraId="5499FA47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Ilość</w:t>
            </w:r>
            <w:r w:rsidRPr="000A13AB">
              <w:rPr>
                <w:rFonts w:ascii="Aptos" w:hAnsi="Aptos" w:cs="Calibri"/>
                <w:b/>
                <w:sz w:val="24"/>
                <w:szCs w:val="24"/>
              </w:rPr>
              <w:br/>
              <w:t>[szt.]</w:t>
            </w:r>
          </w:p>
        </w:tc>
        <w:tc>
          <w:tcPr>
            <w:tcW w:w="1371" w:type="dxa"/>
            <w:vAlign w:val="center"/>
          </w:tcPr>
          <w:p w14:paraId="32236B35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Cena netto</w:t>
            </w:r>
            <w:r w:rsidRPr="000A13AB">
              <w:rPr>
                <w:rFonts w:ascii="Aptos" w:hAnsi="Aptos" w:cs="Calibr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1436" w:type="dxa"/>
            <w:vAlign w:val="center"/>
          </w:tcPr>
          <w:p w14:paraId="13D49BEF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Wartość netto</w:t>
            </w:r>
            <w:r w:rsidRPr="000A13AB">
              <w:rPr>
                <w:rFonts w:ascii="Aptos" w:hAnsi="Aptos" w:cs="Calibr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1430" w:type="dxa"/>
            <w:noWrap/>
            <w:vAlign w:val="center"/>
          </w:tcPr>
          <w:p w14:paraId="5E6EE4D5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Podatek VAT</w:t>
            </w:r>
          </w:p>
        </w:tc>
        <w:tc>
          <w:tcPr>
            <w:tcW w:w="1436" w:type="dxa"/>
            <w:noWrap/>
            <w:vAlign w:val="center"/>
          </w:tcPr>
          <w:p w14:paraId="5F4DA461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b/>
                <w:sz w:val="24"/>
                <w:szCs w:val="24"/>
              </w:rPr>
            </w:pPr>
            <w:r w:rsidRPr="000A13AB">
              <w:rPr>
                <w:rFonts w:ascii="Aptos" w:hAnsi="Aptos" w:cs="Calibri"/>
                <w:b/>
                <w:sz w:val="24"/>
                <w:szCs w:val="24"/>
              </w:rPr>
              <w:t>Wartość brutto</w:t>
            </w:r>
            <w:r w:rsidRPr="000A13AB">
              <w:rPr>
                <w:rFonts w:ascii="Aptos" w:hAnsi="Aptos" w:cs="Calibri"/>
                <w:b/>
                <w:sz w:val="24"/>
                <w:szCs w:val="24"/>
              </w:rPr>
              <w:br/>
              <w:t>[PLN]</w:t>
            </w:r>
          </w:p>
        </w:tc>
      </w:tr>
      <w:tr w:rsidR="005F3BF6" w:rsidRPr="000A13AB" w14:paraId="3CEA43A5" w14:textId="77777777" w:rsidTr="00337375">
        <w:trPr>
          <w:trHeight w:val="649"/>
          <w:jc w:val="center"/>
        </w:trPr>
        <w:tc>
          <w:tcPr>
            <w:tcW w:w="708" w:type="dxa"/>
            <w:noWrap/>
            <w:vAlign w:val="center"/>
          </w:tcPr>
          <w:p w14:paraId="0BA3D38E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1</w:t>
            </w:r>
          </w:p>
        </w:tc>
        <w:tc>
          <w:tcPr>
            <w:tcW w:w="1844" w:type="dxa"/>
            <w:noWrap/>
            <w:vAlign w:val="center"/>
          </w:tcPr>
          <w:p w14:paraId="26F7A7E8" w14:textId="430127D9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Monitor interaktywny</w:t>
            </w:r>
            <w:r w:rsidR="00501AC5" w:rsidRPr="000A13AB">
              <w:rPr>
                <w:rFonts w:ascii="Aptos" w:hAnsi="Aptos" w:cs="Calibri"/>
                <w:sz w:val="24"/>
                <w:szCs w:val="24"/>
              </w:rPr>
              <w:t xml:space="preserve"> 65”</w:t>
            </w:r>
          </w:p>
        </w:tc>
        <w:tc>
          <w:tcPr>
            <w:tcW w:w="2659" w:type="dxa"/>
            <w:vAlign w:val="center"/>
          </w:tcPr>
          <w:p w14:paraId="05F14767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44CDEE9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41055BA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1B5AC8A" w14:textId="357163D7" w:rsidR="00190133" w:rsidRPr="000A13AB" w:rsidRDefault="00190133" w:rsidP="00190133">
            <w:pPr>
              <w:spacing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11A92086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05167DC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30" w:type="dxa"/>
            <w:noWrap/>
            <w:vAlign w:val="center"/>
          </w:tcPr>
          <w:p w14:paraId="6E0A18B8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23%</w:t>
            </w:r>
          </w:p>
        </w:tc>
        <w:tc>
          <w:tcPr>
            <w:tcW w:w="1436" w:type="dxa"/>
            <w:noWrap/>
            <w:vAlign w:val="center"/>
          </w:tcPr>
          <w:p w14:paraId="146334B8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5F3BF6" w:rsidRPr="000A13AB" w14:paraId="02717C94" w14:textId="77777777" w:rsidTr="00337375">
        <w:trPr>
          <w:trHeight w:val="649"/>
          <w:jc w:val="center"/>
        </w:trPr>
        <w:tc>
          <w:tcPr>
            <w:tcW w:w="708" w:type="dxa"/>
            <w:noWrap/>
            <w:vAlign w:val="center"/>
          </w:tcPr>
          <w:p w14:paraId="0231F1C1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noWrap/>
            <w:vAlign w:val="center"/>
          </w:tcPr>
          <w:p w14:paraId="5114204D" w14:textId="0DB5B0AF" w:rsidR="00190133" w:rsidRPr="000A13AB" w:rsidRDefault="00190133" w:rsidP="0077633F">
            <w:pPr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Statyw mobilny do monitora interaktywnego</w:t>
            </w:r>
          </w:p>
        </w:tc>
        <w:tc>
          <w:tcPr>
            <w:tcW w:w="2659" w:type="dxa"/>
            <w:vAlign w:val="center"/>
          </w:tcPr>
          <w:p w14:paraId="0C2803BE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6244B5D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96C2997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5847AF7" w14:textId="5A0FFFCD" w:rsidR="00190133" w:rsidRPr="000A13AB" w:rsidRDefault="00190133" w:rsidP="00190133">
            <w:pPr>
              <w:spacing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766E5242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156A9FD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30" w:type="dxa"/>
            <w:noWrap/>
            <w:vAlign w:val="center"/>
          </w:tcPr>
          <w:p w14:paraId="74C3F3B2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23%</w:t>
            </w:r>
          </w:p>
        </w:tc>
        <w:tc>
          <w:tcPr>
            <w:tcW w:w="1436" w:type="dxa"/>
            <w:noWrap/>
            <w:vAlign w:val="center"/>
          </w:tcPr>
          <w:p w14:paraId="1C68FAFD" w14:textId="77777777" w:rsidR="00190133" w:rsidRPr="000A13AB" w:rsidRDefault="00190133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265AE" w:rsidRPr="000A13AB" w14:paraId="5FC51848" w14:textId="77777777" w:rsidTr="00337375">
        <w:trPr>
          <w:trHeight w:val="649"/>
          <w:jc w:val="center"/>
        </w:trPr>
        <w:tc>
          <w:tcPr>
            <w:tcW w:w="708" w:type="dxa"/>
            <w:noWrap/>
            <w:vAlign w:val="center"/>
          </w:tcPr>
          <w:p w14:paraId="5BFC5545" w14:textId="3DE93D0E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noWrap/>
            <w:vAlign w:val="center"/>
          </w:tcPr>
          <w:p w14:paraId="7A602259" w14:textId="6921C36E" w:rsidR="008265AE" w:rsidRPr="000A13AB" w:rsidRDefault="008265AE" w:rsidP="0077633F">
            <w:pPr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Zestaw wideokonferencyjny</w:t>
            </w:r>
          </w:p>
        </w:tc>
        <w:tc>
          <w:tcPr>
            <w:tcW w:w="2659" w:type="dxa"/>
            <w:vAlign w:val="center"/>
          </w:tcPr>
          <w:p w14:paraId="5512B69A" w14:textId="77777777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9F41EF7" w14:textId="77777777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554CE96" w14:textId="77777777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118616B4" w14:textId="4F5354D0" w:rsidR="008265AE" w:rsidRPr="000A13AB" w:rsidRDefault="008265AE" w:rsidP="00190133">
            <w:pPr>
              <w:spacing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6021B26F" w14:textId="77777777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7C72B43" w14:textId="77777777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430" w:type="dxa"/>
            <w:noWrap/>
            <w:vAlign w:val="center"/>
          </w:tcPr>
          <w:p w14:paraId="7ED36222" w14:textId="47F38FE2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  <w:r w:rsidRPr="000A13AB">
              <w:rPr>
                <w:rFonts w:ascii="Aptos" w:hAnsi="Aptos" w:cs="Calibri"/>
                <w:sz w:val="24"/>
                <w:szCs w:val="24"/>
              </w:rPr>
              <w:t>23%</w:t>
            </w:r>
          </w:p>
        </w:tc>
        <w:tc>
          <w:tcPr>
            <w:tcW w:w="1436" w:type="dxa"/>
            <w:noWrap/>
            <w:vAlign w:val="center"/>
          </w:tcPr>
          <w:p w14:paraId="0E68A66B" w14:textId="77777777" w:rsidR="008265AE" w:rsidRPr="000A13AB" w:rsidRDefault="008265AE" w:rsidP="0077633F">
            <w:pPr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58B2EA4" w14:textId="77777777" w:rsidR="00190133" w:rsidRPr="000A13AB" w:rsidRDefault="00190133" w:rsidP="00976FF2">
      <w:pPr>
        <w:spacing w:before="0" w:line="360" w:lineRule="auto"/>
        <w:jc w:val="left"/>
        <w:rPr>
          <w:rFonts w:ascii="Aptos" w:hAnsi="Aptos"/>
          <w:b/>
          <w:bCs/>
          <w:sz w:val="24"/>
          <w:szCs w:val="24"/>
        </w:rPr>
      </w:pPr>
    </w:p>
    <w:p w14:paraId="72918685" w14:textId="547EF509" w:rsidR="00976FF2" w:rsidRPr="000A13AB" w:rsidRDefault="00190133" w:rsidP="00976FF2">
      <w:pPr>
        <w:spacing w:before="0" w:line="360" w:lineRule="auto"/>
        <w:jc w:val="left"/>
        <w:rPr>
          <w:rFonts w:ascii="Aptos" w:hAnsi="Aptos"/>
          <w:b/>
          <w:bCs/>
          <w:sz w:val="24"/>
          <w:szCs w:val="24"/>
        </w:rPr>
      </w:pPr>
      <w:r w:rsidRPr="000A13AB">
        <w:rPr>
          <w:rFonts w:ascii="Aptos" w:hAnsi="Aptos"/>
          <w:b/>
          <w:bCs/>
          <w:sz w:val="24"/>
          <w:szCs w:val="24"/>
        </w:rPr>
        <w:t>SUMA:</w:t>
      </w:r>
    </w:p>
    <w:p w14:paraId="1E98B2FC" w14:textId="77777777" w:rsidR="005F3BF6" w:rsidRPr="000A13AB" w:rsidRDefault="005F3BF6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  <w:sectPr w:rsidR="005F3BF6" w:rsidRPr="000A13AB" w:rsidSect="005F3BF6">
          <w:pgSz w:w="16838" w:h="11906" w:orient="landscape"/>
          <w:pgMar w:top="1418" w:right="1418" w:bottom="1418" w:left="1418" w:header="284" w:footer="181" w:gutter="0"/>
          <w:cols w:space="708"/>
          <w:docGrid w:linePitch="360"/>
        </w:sectPr>
      </w:pPr>
    </w:p>
    <w:p w14:paraId="71FBC140" w14:textId="6703E532" w:rsidR="00344B19" w:rsidRPr="000A13AB" w:rsidRDefault="00344B19" w:rsidP="00337375">
      <w:pPr>
        <w:rPr>
          <w:rFonts w:ascii="Aptos" w:hAnsi="Aptos" w:cstheme="minorHAnsi"/>
          <w:sz w:val="24"/>
          <w:szCs w:val="24"/>
        </w:rPr>
      </w:pPr>
      <w:r w:rsidRPr="000A13AB">
        <w:rPr>
          <w:rFonts w:ascii="Aptos" w:hAnsi="Aptos" w:cstheme="minorHAnsi"/>
          <w:sz w:val="24"/>
          <w:szCs w:val="24"/>
        </w:rPr>
        <w:lastRenderedPageBreak/>
        <w:t>Uniwersytet Medyczny w Białymstoku jest uprawniony do stosowania 0% stawki podatku VAT przy zakupie sprzętu komputerowego. Zastosowanie stawki podatku VAT w wysokości 0% przy zakupie przez Uniwersytet Medyczny w Białymstoku sprzętu komputerowego jest możliwe pod warunkiem otrzymania z Ministerstwa Zdrowia zaświadczenia uprawniającego do zastosowania takiej stawki podatkowej. Zgodnie z Dz.U.2024.361 tj. - Ustawa z dnia 11 marca 2004 r. o podatku od towarów i usług, Art. 83 ust. 1, pkt 26, ustawy o VAT, stawką podatku w wysokości 0% objęty jest zakup następującego sprzętu komputerowego:</w:t>
      </w:r>
    </w:p>
    <w:p w14:paraId="6231B008" w14:textId="77777777" w:rsidR="00344B19" w:rsidRPr="000A13AB" w:rsidRDefault="00344B19" w:rsidP="00B34BE6">
      <w:pPr>
        <w:spacing w:line="360" w:lineRule="auto"/>
        <w:rPr>
          <w:rFonts w:ascii="Aptos" w:hAnsi="Aptos" w:cstheme="minorHAnsi"/>
          <w:sz w:val="24"/>
          <w:szCs w:val="24"/>
        </w:rPr>
      </w:pPr>
      <w:r w:rsidRPr="000A13AB">
        <w:rPr>
          <w:rFonts w:ascii="Aptos" w:hAnsi="Aptos" w:cstheme="minorHAnsi"/>
          <w:sz w:val="24"/>
          <w:szCs w:val="24"/>
        </w:rPr>
        <w:t>•</w:t>
      </w:r>
      <w:r w:rsidRPr="000A13AB">
        <w:rPr>
          <w:rFonts w:ascii="Aptos" w:hAnsi="Aptos" w:cstheme="minorHAnsi"/>
          <w:sz w:val="24"/>
          <w:szCs w:val="24"/>
        </w:rPr>
        <w:tab/>
        <w:t>jednostki centralne komputerów, serwery, monitory, zestawy komputerów stacjonarnych;</w:t>
      </w:r>
    </w:p>
    <w:p w14:paraId="273AFF72" w14:textId="77777777" w:rsidR="00344B19" w:rsidRPr="000A13AB" w:rsidRDefault="00344B19" w:rsidP="00B34BE6">
      <w:pPr>
        <w:spacing w:line="360" w:lineRule="auto"/>
        <w:rPr>
          <w:rFonts w:ascii="Aptos" w:hAnsi="Aptos" w:cstheme="minorHAnsi"/>
          <w:sz w:val="24"/>
          <w:szCs w:val="24"/>
        </w:rPr>
      </w:pPr>
      <w:r w:rsidRPr="000A13AB">
        <w:rPr>
          <w:rFonts w:ascii="Aptos" w:hAnsi="Aptos" w:cstheme="minorHAnsi"/>
          <w:sz w:val="24"/>
          <w:szCs w:val="24"/>
        </w:rPr>
        <w:t>•</w:t>
      </w:r>
      <w:r w:rsidRPr="000A13AB">
        <w:rPr>
          <w:rFonts w:ascii="Aptos" w:hAnsi="Aptos" w:cstheme="minorHAnsi"/>
          <w:sz w:val="24"/>
          <w:szCs w:val="24"/>
        </w:rPr>
        <w:tab/>
        <w:t xml:space="preserve">drukarki; </w:t>
      </w:r>
    </w:p>
    <w:p w14:paraId="1D667868" w14:textId="77777777" w:rsidR="00344B19" w:rsidRPr="000A13AB" w:rsidRDefault="00344B19" w:rsidP="00B34BE6">
      <w:pPr>
        <w:spacing w:line="360" w:lineRule="auto"/>
        <w:rPr>
          <w:rFonts w:ascii="Aptos" w:hAnsi="Aptos" w:cstheme="minorHAnsi"/>
          <w:sz w:val="24"/>
          <w:szCs w:val="24"/>
        </w:rPr>
      </w:pPr>
      <w:r w:rsidRPr="000A13AB">
        <w:rPr>
          <w:rFonts w:ascii="Aptos" w:hAnsi="Aptos" w:cstheme="minorHAnsi"/>
          <w:sz w:val="24"/>
          <w:szCs w:val="24"/>
        </w:rPr>
        <w:t>•</w:t>
      </w:r>
      <w:r w:rsidRPr="000A13AB">
        <w:rPr>
          <w:rFonts w:ascii="Aptos" w:hAnsi="Aptos" w:cstheme="minorHAnsi"/>
          <w:sz w:val="24"/>
          <w:szCs w:val="24"/>
        </w:rPr>
        <w:tab/>
        <w:t>skanery;</w:t>
      </w:r>
    </w:p>
    <w:p w14:paraId="7F25E5E6" w14:textId="77777777" w:rsidR="00344B19" w:rsidRPr="000A13AB" w:rsidRDefault="00344B19" w:rsidP="00B34BE6">
      <w:pPr>
        <w:spacing w:line="360" w:lineRule="auto"/>
        <w:rPr>
          <w:rFonts w:ascii="Aptos" w:hAnsi="Aptos" w:cstheme="minorHAnsi"/>
          <w:sz w:val="24"/>
          <w:szCs w:val="24"/>
        </w:rPr>
      </w:pPr>
      <w:r w:rsidRPr="000A13AB">
        <w:rPr>
          <w:rFonts w:ascii="Aptos" w:hAnsi="Aptos" w:cstheme="minorHAnsi"/>
          <w:sz w:val="24"/>
          <w:szCs w:val="24"/>
        </w:rPr>
        <w:t>•</w:t>
      </w:r>
      <w:r w:rsidRPr="000A13AB">
        <w:rPr>
          <w:rFonts w:ascii="Aptos" w:hAnsi="Aptos" w:cstheme="minorHAnsi"/>
          <w:sz w:val="24"/>
          <w:szCs w:val="24"/>
        </w:rPr>
        <w:tab/>
        <w:t>urządzenia komputerowe do pism Braille'a (dla osób niewidomych i niedowidzących);</w:t>
      </w:r>
    </w:p>
    <w:p w14:paraId="10C50920" w14:textId="67553873" w:rsidR="00344B19" w:rsidRPr="000A13AB" w:rsidRDefault="00344B19" w:rsidP="00B34BE6">
      <w:pPr>
        <w:spacing w:line="360" w:lineRule="auto"/>
        <w:rPr>
          <w:rFonts w:ascii="Aptos" w:hAnsi="Aptos" w:cstheme="minorHAnsi"/>
          <w:sz w:val="24"/>
          <w:szCs w:val="24"/>
        </w:rPr>
      </w:pPr>
      <w:r w:rsidRPr="000A13AB">
        <w:rPr>
          <w:rFonts w:ascii="Aptos" w:hAnsi="Aptos" w:cstheme="minorHAnsi"/>
          <w:sz w:val="24"/>
          <w:szCs w:val="24"/>
        </w:rPr>
        <w:t>•</w:t>
      </w:r>
      <w:r w:rsidRPr="000A13AB">
        <w:rPr>
          <w:rFonts w:ascii="Aptos" w:hAnsi="Aptos" w:cstheme="minorHAnsi"/>
          <w:sz w:val="24"/>
          <w:szCs w:val="24"/>
        </w:rPr>
        <w:tab/>
        <w:t>urządzenia do transmisji danych cyfrowych (w tym koncentratory i switche sieciowe, routery i modemy).</w:t>
      </w:r>
    </w:p>
    <w:p w14:paraId="37FBE4EE" w14:textId="77777777" w:rsidR="00B5319A" w:rsidRPr="000A13AB" w:rsidRDefault="00B5319A" w:rsidP="00B5319A">
      <w:pPr>
        <w:pStyle w:val="Nagwek2"/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 xml:space="preserve">Warunki realizacji: </w:t>
      </w:r>
    </w:p>
    <w:p w14:paraId="558A633D" w14:textId="77777777" w:rsidR="00B5319A" w:rsidRPr="000A13AB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 xml:space="preserve">czas ważności oferty 30 dni od daty jej złożenia </w:t>
      </w:r>
    </w:p>
    <w:p w14:paraId="1D718A2E" w14:textId="77777777" w:rsidR="00147357" w:rsidRDefault="00B5319A" w:rsidP="007E07EC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8E2057">
        <w:rPr>
          <w:rFonts w:ascii="Aptos" w:hAnsi="Aptos"/>
          <w:sz w:val="24"/>
          <w:szCs w:val="24"/>
          <w:u w:val="single"/>
        </w:rPr>
        <w:t xml:space="preserve">realizacja do </w:t>
      </w:r>
      <w:r w:rsidR="00147357" w:rsidRPr="008E2057">
        <w:rPr>
          <w:rFonts w:ascii="Aptos" w:hAnsi="Aptos"/>
          <w:sz w:val="24"/>
          <w:szCs w:val="24"/>
          <w:u w:val="single"/>
        </w:rPr>
        <w:t>25 czerwca 2026r</w:t>
      </w:r>
      <w:r w:rsidR="00147357" w:rsidRPr="00147357">
        <w:rPr>
          <w:rFonts w:ascii="Aptos" w:hAnsi="Aptos"/>
          <w:sz w:val="24"/>
          <w:szCs w:val="24"/>
        </w:rPr>
        <w:t>.</w:t>
      </w:r>
    </w:p>
    <w:p w14:paraId="31383DB5" w14:textId="0B963B67" w:rsidR="00A46773" w:rsidRPr="00147357" w:rsidRDefault="00B5319A" w:rsidP="007E07EC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147357">
        <w:rPr>
          <w:rFonts w:ascii="Aptos" w:hAnsi="Aptos"/>
          <w:sz w:val="24"/>
          <w:szCs w:val="24"/>
        </w:rPr>
        <w:t>miejsce dostawy: Uniwersytet Medyczny w Białymstoku,</w:t>
      </w:r>
      <w:r w:rsidR="001C5409" w:rsidRPr="00147357">
        <w:rPr>
          <w:rFonts w:ascii="Aptos" w:hAnsi="Aptos"/>
          <w:sz w:val="24"/>
          <w:szCs w:val="24"/>
        </w:rPr>
        <w:t xml:space="preserve"> </w:t>
      </w:r>
      <w:r w:rsidR="00A10131" w:rsidRPr="00147357">
        <w:rPr>
          <w:rFonts w:ascii="Aptos" w:hAnsi="Aptos"/>
          <w:sz w:val="24"/>
          <w:szCs w:val="24"/>
        </w:rPr>
        <w:t>Centrum Pielęgniarstwa</w:t>
      </w:r>
      <w:r w:rsidR="00FC357C" w:rsidRPr="00147357">
        <w:rPr>
          <w:rFonts w:ascii="Aptos" w:hAnsi="Aptos"/>
          <w:sz w:val="24"/>
          <w:szCs w:val="24"/>
        </w:rPr>
        <w:t xml:space="preserve"> UMB, ul.</w:t>
      </w:r>
      <w:r w:rsidR="00A10131" w:rsidRPr="00147357">
        <w:rPr>
          <w:rFonts w:ascii="Aptos" w:hAnsi="Aptos"/>
          <w:sz w:val="24"/>
          <w:szCs w:val="24"/>
        </w:rPr>
        <w:t>Żurawia</w:t>
      </w:r>
      <w:r w:rsidR="00FC357C" w:rsidRPr="00147357">
        <w:rPr>
          <w:rFonts w:ascii="Aptos" w:hAnsi="Aptos"/>
          <w:sz w:val="24"/>
          <w:szCs w:val="24"/>
        </w:rPr>
        <w:t xml:space="preserve"> , Białystok</w:t>
      </w:r>
    </w:p>
    <w:p w14:paraId="4FA8346F" w14:textId="77777777" w:rsidR="00B5319A" w:rsidRPr="000A13AB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0A13AB" w:rsidRDefault="00B5319A" w:rsidP="00B5319A">
      <w:pPr>
        <w:pStyle w:val="Nagwek2"/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Warunki płatności:</w:t>
      </w:r>
    </w:p>
    <w:p w14:paraId="5BEACE50" w14:textId="77777777" w:rsidR="00B5319A" w:rsidRPr="000A13AB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0A13AB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faktura VAT zostanie wystawiona w ciągu 3 dni od wykonania zamówienia</w:t>
      </w:r>
    </w:p>
    <w:p w14:paraId="79ED8C0C" w14:textId="77777777" w:rsidR="00B5319A" w:rsidRPr="000A13AB" w:rsidRDefault="00B5319A" w:rsidP="00B5319A">
      <w:pPr>
        <w:pStyle w:val="Nagwek2"/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Niniejszym oświadczam, że:</w:t>
      </w:r>
    </w:p>
    <w:p w14:paraId="2922A172" w14:textId="77777777" w:rsidR="00B5319A" w:rsidRPr="000A13AB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0A13AB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lastRenderedPageBreak/>
        <w:t xml:space="preserve">zapoznałem się z warunkami zamówienia i przyjmuję je bez zastrzeżeń; </w:t>
      </w:r>
    </w:p>
    <w:p w14:paraId="5FCBEA52" w14:textId="77777777" w:rsidR="00B5319A" w:rsidRPr="000A13AB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przedmiot oferty jest zgodny z przedmiotem zamówienia</w:t>
      </w:r>
    </w:p>
    <w:p w14:paraId="2CE94327" w14:textId="77777777" w:rsidR="00B5319A" w:rsidRPr="000A13AB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nie jestem podmiotem spełniającym przesłanki wykluczenia określone w art. 7 ust. 1 ustawy z dnia 13 kwietnia 2022 r. (Dz. U. 2022 poz. 835 z późn. zm.) o szczególnych rozwiązaniach w zakresie przeciwdziałania wspieraniu agresji na Ukrainę oraz służących ochronie bezpieczeństwa narodowego</w:t>
      </w:r>
    </w:p>
    <w:p w14:paraId="0BC1F036" w14:textId="77777777" w:rsidR="00B5319A" w:rsidRPr="000A13AB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0A13AB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0A13AB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 xml:space="preserve">posiadaniu co najmniej 10 % udziałów lub akcji; </w:t>
      </w:r>
    </w:p>
    <w:p w14:paraId="68FB4585" w14:textId="77777777" w:rsidR="00B5319A" w:rsidRPr="000A13AB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0A13AB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E2BD4A1" w14:textId="77777777" w:rsidR="00A07C69" w:rsidRPr="000A13AB" w:rsidRDefault="00A07C69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397B31C1" w14:textId="77777777" w:rsidR="00A07C69" w:rsidRPr="000A13AB" w:rsidRDefault="00A07C69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4DCDAB7B" w14:textId="77777777" w:rsidR="00A07C69" w:rsidRPr="000A13AB" w:rsidRDefault="00A07C69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79803E48" w14:textId="463080E5" w:rsidR="00D15548" w:rsidRPr="000A13AB" w:rsidRDefault="00B5319A" w:rsidP="00B5319A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0A13AB">
        <w:rPr>
          <w:rFonts w:ascii="Aptos" w:hAnsi="Aptos"/>
          <w:sz w:val="24"/>
          <w:szCs w:val="24"/>
        </w:rPr>
        <w:t>Podpis wykonawcy: ...</w:t>
      </w:r>
    </w:p>
    <w:sectPr w:rsidR="00D15548" w:rsidRPr="000A13AB" w:rsidSect="002D78CE"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4404" w14:textId="77777777" w:rsidR="007D4908" w:rsidRPr="0006331F" w:rsidRDefault="007D4908" w:rsidP="00422A71">
      <w:pPr>
        <w:spacing w:before="0" w:line="240" w:lineRule="auto"/>
      </w:pPr>
      <w:r w:rsidRPr="0006331F">
        <w:separator/>
      </w:r>
    </w:p>
  </w:endnote>
  <w:endnote w:type="continuationSeparator" w:id="0">
    <w:p w14:paraId="51AA2B6F" w14:textId="77777777" w:rsidR="007D4908" w:rsidRPr="0006331F" w:rsidRDefault="007D4908" w:rsidP="00422A71">
      <w:pPr>
        <w:spacing w:before="0" w:line="240" w:lineRule="auto"/>
      </w:pPr>
      <w:r w:rsidRPr="00063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rlito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C3E5" w14:textId="1B31A463" w:rsidR="00A07C69" w:rsidRPr="00A07C69" w:rsidRDefault="00A07C69" w:rsidP="00A07C69">
    <w:pPr>
      <w:pStyle w:val="Stopka"/>
      <w:jc w:val="center"/>
      <w:rPr>
        <w:i/>
        <w:sz w:val="16"/>
      </w:rPr>
    </w:pPr>
    <w:r w:rsidRPr="007639C8">
      <w:rPr>
        <w:i/>
        <w:sz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</w:t>
    </w:r>
    <w:r>
      <w:rPr>
        <w:i/>
        <w:sz w:val="16"/>
      </w:rPr>
      <w:t>oraz zwiększeniem liczby osób podejmujących studia medyczne</w:t>
    </w:r>
    <w:r w:rsidRPr="007639C8">
      <w:rPr>
        <w:i/>
        <w:sz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83B4" w14:textId="77777777" w:rsidR="007D4908" w:rsidRPr="0006331F" w:rsidRDefault="007D4908" w:rsidP="00422A71">
      <w:pPr>
        <w:spacing w:before="0" w:line="240" w:lineRule="auto"/>
      </w:pPr>
      <w:r w:rsidRPr="0006331F">
        <w:separator/>
      </w:r>
    </w:p>
  </w:footnote>
  <w:footnote w:type="continuationSeparator" w:id="0">
    <w:p w14:paraId="044D4A56" w14:textId="77777777" w:rsidR="007D4908" w:rsidRPr="0006331F" w:rsidRDefault="007D4908" w:rsidP="00422A71">
      <w:pPr>
        <w:spacing w:before="0" w:line="240" w:lineRule="auto"/>
      </w:pPr>
      <w:r w:rsidRPr="00063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7F95BCEE" w:rsidR="00655231" w:rsidRPr="0006331F" w:rsidRDefault="00655231" w:rsidP="004A0BE7">
    <w:pPr>
      <w:pStyle w:val="Nagwek"/>
      <w:jc w:val="left"/>
    </w:pPr>
  </w:p>
  <w:p w14:paraId="5C54F6D5" w14:textId="16126610" w:rsidR="00655231" w:rsidRPr="0006331F" w:rsidRDefault="00A46B2C" w:rsidP="00A46B2C">
    <w:pPr>
      <w:pStyle w:val="Nagwek"/>
      <w:ind w:hanging="567"/>
    </w:pPr>
    <w:r>
      <w:rPr>
        <w:noProof/>
      </w:rPr>
      <w:drawing>
        <wp:inline distT="0" distB="0" distL="0" distR="0" wp14:anchorId="297CE0A7" wp14:editId="36C32935">
          <wp:extent cx="6368924" cy="704850"/>
          <wp:effectExtent l="0" t="0" r="0" b="0"/>
          <wp:docPr id="1878649501" name="Obraz 187864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2509"/>
    <w:multiLevelType w:val="hybridMultilevel"/>
    <w:tmpl w:val="1EC01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E6CA3"/>
    <w:multiLevelType w:val="hybridMultilevel"/>
    <w:tmpl w:val="D10C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664A3"/>
    <w:multiLevelType w:val="hybridMultilevel"/>
    <w:tmpl w:val="1E82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29E"/>
    <w:multiLevelType w:val="hybridMultilevel"/>
    <w:tmpl w:val="F16EA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F725E"/>
    <w:multiLevelType w:val="hybridMultilevel"/>
    <w:tmpl w:val="A25C3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60A04"/>
    <w:multiLevelType w:val="hybridMultilevel"/>
    <w:tmpl w:val="C36CA250"/>
    <w:lvl w:ilvl="0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97770"/>
    <w:multiLevelType w:val="multilevel"/>
    <w:tmpl w:val="1DC68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77B12459"/>
    <w:multiLevelType w:val="hybridMultilevel"/>
    <w:tmpl w:val="44B0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C7AA0"/>
    <w:multiLevelType w:val="hybridMultilevel"/>
    <w:tmpl w:val="3B2E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137D2"/>
    <w:multiLevelType w:val="hybridMultilevel"/>
    <w:tmpl w:val="12FA6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10"/>
  </w:num>
  <w:num w:numId="2" w16cid:durableId="1343161123">
    <w:abstractNumId w:val="11"/>
  </w:num>
  <w:num w:numId="3" w16cid:durableId="570702577">
    <w:abstractNumId w:val="0"/>
  </w:num>
  <w:num w:numId="4" w16cid:durableId="1889563306">
    <w:abstractNumId w:val="4"/>
  </w:num>
  <w:num w:numId="5" w16cid:durableId="652216485">
    <w:abstractNumId w:val="5"/>
  </w:num>
  <w:num w:numId="6" w16cid:durableId="2098092517">
    <w:abstractNumId w:val="1"/>
  </w:num>
  <w:num w:numId="7" w16cid:durableId="143402201">
    <w:abstractNumId w:val="21"/>
  </w:num>
  <w:num w:numId="8" w16cid:durableId="877358131">
    <w:abstractNumId w:val="3"/>
  </w:num>
  <w:num w:numId="9" w16cid:durableId="1447195017">
    <w:abstractNumId w:val="6"/>
  </w:num>
  <w:num w:numId="10" w16cid:durableId="1116799840">
    <w:abstractNumId w:val="16"/>
  </w:num>
  <w:num w:numId="11" w16cid:durableId="88745734">
    <w:abstractNumId w:val="7"/>
  </w:num>
  <w:num w:numId="12" w16cid:durableId="1536581777">
    <w:abstractNumId w:val="15"/>
  </w:num>
  <w:num w:numId="13" w16cid:durableId="86079288">
    <w:abstractNumId w:val="8"/>
  </w:num>
  <w:num w:numId="14" w16cid:durableId="1184440419">
    <w:abstractNumId w:val="9"/>
  </w:num>
  <w:num w:numId="15" w16cid:durableId="171575707">
    <w:abstractNumId w:val="18"/>
  </w:num>
  <w:num w:numId="16" w16cid:durableId="1783307762">
    <w:abstractNumId w:val="12"/>
  </w:num>
  <w:num w:numId="17" w16cid:durableId="55981527">
    <w:abstractNumId w:val="19"/>
  </w:num>
  <w:num w:numId="18" w16cid:durableId="2018076982">
    <w:abstractNumId w:val="2"/>
  </w:num>
  <w:num w:numId="19" w16cid:durableId="824971026">
    <w:abstractNumId w:val="17"/>
  </w:num>
  <w:num w:numId="20" w16cid:durableId="721566042">
    <w:abstractNumId w:val="14"/>
  </w:num>
  <w:num w:numId="21" w16cid:durableId="1292595741">
    <w:abstractNumId w:val="20"/>
  </w:num>
  <w:num w:numId="22" w16cid:durableId="1412582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074A2"/>
    <w:rsid w:val="00013F54"/>
    <w:rsid w:val="0001727F"/>
    <w:rsid w:val="00022502"/>
    <w:rsid w:val="00027F2A"/>
    <w:rsid w:val="00030F5F"/>
    <w:rsid w:val="00031A81"/>
    <w:rsid w:val="0004002E"/>
    <w:rsid w:val="000471C4"/>
    <w:rsid w:val="000566A9"/>
    <w:rsid w:val="0006331F"/>
    <w:rsid w:val="00084E35"/>
    <w:rsid w:val="00094E99"/>
    <w:rsid w:val="000A13AB"/>
    <w:rsid w:val="000A2632"/>
    <w:rsid w:val="000B163E"/>
    <w:rsid w:val="000C6486"/>
    <w:rsid w:val="000C6AC4"/>
    <w:rsid w:val="000F7840"/>
    <w:rsid w:val="00104095"/>
    <w:rsid w:val="001115D5"/>
    <w:rsid w:val="00126E6D"/>
    <w:rsid w:val="00127E74"/>
    <w:rsid w:val="00134DBB"/>
    <w:rsid w:val="00147357"/>
    <w:rsid w:val="00164FDE"/>
    <w:rsid w:val="00173E93"/>
    <w:rsid w:val="00190133"/>
    <w:rsid w:val="00192C7E"/>
    <w:rsid w:val="001A6FBA"/>
    <w:rsid w:val="001B761C"/>
    <w:rsid w:val="001C5409"/>
    <w:rsid w:val="001D0E4A"/>
    <w:rsid w:val="001E1EBE"/>
    <w:rsid w:val="001E7256"/>
    <w:rsid w:val="00215C27"/>
    <w:rsid w:val="00215E98"/>
    <w:rsid w:val="002177D5"/>
    <w:rsid w:val="00220E11"/>
    <w:rsid w:val="00225449"/>
    <w:rsid w:val="00231A24"/>
    <w:rsid w:val="00233D94"/>
    <w:rsid w:val="00241ABD"/>
    <w:rsid w:val="00261B0B"/>
    <w:rsid w:val="00262498"/>
    <w:rsid w:val="00263C5B"/>
    <w:rsid w:val="00274ECF"/>
    <w:rsid w:val="00280F14"/>
    <w:rsid w:val="00285E05"/>
    <w:rsid w:val="00286F43"/>
    <w:rsid w:val="00291629"/>
    <w:rsid w:val="00293570"/>
    <w:rsid w:val="00295D77"/>
    <w:rsid w:val="002A4E92"/>
    <w:rsid w:val="002C443C"/>
    <w:rsid w:val="002D2BB7"/>
    <w:rsid w:val="002D4D70"/>
    <w:rsid w:val="002D78CE"/>
    <w:rsid w:val="002E452F"/>
    <w:rsid w:val="002F0B11"/>
    <w:rsid w:val="002F7485"/>
    <w:rsid w:val="00300135"/>
    <w:rsid w:val="00300213"/>
    <w:rsid w:val="003030DF"/>
    <w:rsid w:val="0032434D"/>
    <w:rsid w:val="00330AED"/>
    <w:rsid w:val="00336D72"/>
    <w:rsid w:val="00337375"/>
    <w:rsid w:val="00342896"/>
    <w:rsid w:val="00344B19"/>
    <w:rsid w:val="00345DFA"/>
    <w:rsid w:val="00353A36"/>
    <w:rsid w:val="003641F8"/>
    <w:rsid w:val="00374D0A"/>
    <w:rsid w:val="003B1D6D"/>
    <w:rsid w:val="003D0EEF"/>
    <w:rsid w:val="003D396C"/>
    <w:rsid w:val="003D7971"/>
    <w:rsid w:val="003F55E2"/>
    <w:rsid w:val="004135AF"/>
    <w:rsid w:val="00422A71"/>
    <w:rsid w:val="0042376A"/>
    <w:rsid w:val="00450DCB"/>
    <w:rsid w:val="00463E89"/>
    <w:rsid w:val="00465819"/>
    <w:rsid w:val="00466698"/>
    <w:rsid w:val="00481ECD"/>
    <w:rsid w:val="004A0A23"/>
    <w:rsid w:val="004A0BE7"/>
    <w:rsid w:val="004A4954"/>
    <w:rsid w:val="004D461B"/>
    <w:rsid w:val="004D4FE8"/>
    <w:rsid w:val="00501AC5"/>
    <w:rsid w:val="00504F7F"/>
    <w:rsid w:val="0050732C"/>
    <w:rsid w:val="00511FE1"/>
    <w:rsid w:val="00513B93"/>
    <w:rsid w:val="00527766"/>
    <w:rsid w:val="00555AD0"/>
    <w:rsid w:val="00567FF8"/>
    <w:rsid w:val="00570A17"/>
    <w:rsid w:val="0057348B"/>
    <w:rsid w:val="005804A6"/>
    <w:rsid w:val="0059574A"/>
    <w:rsid w:val="005A6B00"/>
    <w:rsid w:val="005B0A18"/>
    <w:rsid w:val="005B2BC6"/>
    <w:rsid w:val="005B5A77"/>
    <w:rsid w:val="005B7DBA"/>
    <w:rsid w:val="005E4A42"/>
    <w:rsid w:val="005E7D70"/>
    <w:rsid w:val="005F07E0"/>
    <w:rsid w:val="005F3BF6"/>
    <w:rsid w:val="0061462D"/>
    <w:rsid w:val="006268E7"/>
    <w:rsid w:val="0063286F"/>
    <w:rsid w:val="0063668E"/>
    <w:rsid w:val="006550AC"/>
    <w:rsid w:val="00655231"/>
    <w:rsid w:val="00657278"/>
    <w:rsid w:val="00676DD0"/>
    <w:rsid w:val="006860F4"/>
    <w:rsid w:val="00695BD0"/>
    <w:rsid w:val="006A1B34"/>
    <w:rsid w:val="006A6007"/>
    <w:rsid w:val="006B3FCD"/>
    <w:rsid w:val="006B6EBD"/>
    <w:rsid w:val="006C22E1"/>
    <w:rsid w:val="006C298F"/>
    <w:rsid w:val="006F0BD1"/>
    <w:rsid w:val="006F4271"/>
    <w:rsid w:val="00715F60"/>
    <w:rsid w:val="00720F97"/>
    <w:rsid w:val="00727160"/>
    <w:rsid w:val="00727E84"/>
    <w:rsid w:val="00733E9A"/>
    <w:rsid w:val="00763365"/>
    <w:rsid w:val="00771770"/>
    <w:rsid w:val="0078248A"/>
    <w:rsid w:val="00795A7C"/>
    <w:rsid w:val="007B498B"/>
    <w:rsid w:val="007B662A"/>
    <w:rsid w:val="007C179E"/>
    <w:rsid w:val="007C5AF8"/>
    <w:rsid w:val="007D27BD"/>
    <w:rsid w:val="007D4908"/>
    <w:rsid w:val="007E56CD"/>
    <w:rsid w:val="007E61E3"/>
    <w:rsid w:val="007F65EC"/>
    <w:rsid w:val="008001E5"/>
    <w:rsid w:val="00801FC1"/>
    <w:rsid w:val="00803DED"/>
    <w:rsid w:val="008105F4"/>
    <w:rsid w:val="00823658"/>
    <w:rsid w:val="008265AE"/>
    <w:rsid w:val="00834EB6"/>
    <w:rsid w:val="0084354A"/>
    <w:rsid w:val="00843F00"/>
    <w:rsid w:val="00845836"/>
    <w:rsid w:val="00847704"/>
    <w:rsid w:val="008513FF"/>
    <w:rsid w:val="008527A7"/>
    <w:rsid w:val="00880BBE"/>
    <w:rsid w:val="00881405"/>
    <w:rsid w:val="00891EE9"/>
    <w:rsid w:val="008C00EE"/>
    <w:rsid w:val="008C5009"/>
    <w:rsid w:val="008C779B"/>
    <w:rsid w:val="008D64DF"/>
    <w:rsid w:val="008E2057"/>
    <w:rsid w:val="008E33F0"/>
    <w:rsid w:val="008F4CD5"/>
    <w:rsid w:val="008F587D"/>
    <w:rsid w:val="008F6E98"/>
    <w:rsid w:val="008F7A27"/>
    <w:rsid w:val="00911F3E"/>
    <w:rsid w:val="0091289C"/>
    <w:rsid w:val="00916CA2"/>
    <w:rsid w:val="0091736F"/>
    <w:rsid w:val="00922D0F"/>
    <w:rsid w:val="00924BDD"/>
    <w:rsid w:val="00945915"/>
    <w:rsid w:val="009560D4"/>
    <w:rsid w:val="00956473"/>
    <w:rsid w:val="0096381C"/>
    <w:rsid w:val="00973485"/>
    <w:rsid w:val="00973C60"/>
    <w:rsid w:val="00976FF2"/>
    <w:rsid w:val="009868DE"/>
    <w:rsid w:val="00995C5D"/>
    <w:rsid w:val="009C50A7"/>
    <w:rsid w:val="009C68E1"/>
    <w:rsid w:val="009D74AB"/>
    <w:rsid w:val="009E0CE6"/>
    <w:rsid w:val="009E1FE3"/>
    <w:rsid w:val="009F6F63"/>
    <w:rsid w:val="00A009ED"/>
    <w:rsid w:val="00A07C69"/>
    <w:rsid w:val="00A10131"/>
    <w:rsid w:val="00A277E3"/>
    <w:rsid w:val="00A32272"/>
    <w:rsid w:val="00A46773"/>
    <w:rsid w:val="00A46B2C"/>
    <w:rsid w:val="00A57C10"/>
    <w:rsid w:val="00A67892"/>
    <w:rsid w:val="00A77738"/>
    <w:rsid w:val="00A86B2D"/>
    <w:rsid w:val="00A8772C"/>
    <w:rsid w:val="00A91E49"/>
    <w:rsid w:val="00A94757"/>
    <w:rsid w:val="00A95871"/>
    <w:rsid w:val="00AA0739"/>
    <w:rsid w:val="00AA5115"/>
    <w:rsid w:val="00AA6748"/>
    <w:rsid w:val="00AC68D4"/>
    <w:rsid w:val="00AD42CD"/>
    <w:rsid w:val="00AE2559"/>
    <w:rsid w:val="00AF60F4"/>
    <w:rsid w:val="00B06673"/>
    <w:rsid w:val="00B1509A"/>
    <w:rsid w:val="00B22AE6"/>
    <w:rsid w:val="00B25EE5"/>
    <w:rsid w:val="00B26693"/>
    <w:rsid w:val="00B3313A"/>
    <w:rsid w:val="00B34BE6"/>
    <w:rsid w:val="00B358BF"/>
    <w:rsid w:val="00B5319A"/>
    <w:rsid w:val="00B56A2F"/>
    <w:rsid w:val="00B667C3"/>
    <w:rsid w:val="00B73AF6"/>
    <w:rsid w:val="00B7608A"/>
    <w:rsid w:val="00B83F8B"/>
    <w:rsid w:val="00BB2E58"/>
    <w:rsid w:val="00BC0B86"/>
    <w:rsid w:val="00BC1767"/>
    <w:rsid w:val="00BC745C"/>
    <w:rsid w:val="00BE6AFC"/>
    <w:rsid w:val="00BF1669"/>
    <w:rsid w:val="00C0373B"/>
    <w:rsid w:val="00C1621E"/>
    <w:rsid w:val="00C22E69"/>
    <w:rsid w:val="00C2643E"/>
    <w:rsid w:val="00C35C5E"/>
    <w:rsid w:val="00C3775A"/>
    <w:rsid w:val="00C63206"/>
    <w:rsid w:val="00C86202"/>
    <w:rsid w:val="00C8630F"/>
    <w:rsid w:val="00CD47D1"/>
    <w:rsid w:val="00CE3F9D"/>
    <w:rsid w:val="00CF3155"/>
    <w:rsid w:val="00CF658A"/>
    <w:rsid w:val="00D05B94"/>
    <w:rsid w:val="00D06FA2"/>
    <w:rsid w:val="00D15548"/>
    <w:rsid w:val="00D168F8"/>
    <w:rsid w:val="00D173AC"/>
    <w:rsid w:val="00D33275"/>
    <w:rsid w:val="00D45673"/>
    <w:rsid w:val="00D5225E"/>
    <w:rsid w:val="00D63838"/>
    <w:rsid w:val="00D91320"/>
    <w:rsid w:val="00D936B4"/>
    <w:rsid w:val="00DB105C"/>
    <w:rsid w:val="00DB1066"/>
    <w:rsid w:val="00DB1836"/>
    <w:rsid w:val="00DB638B"/>
    <w:rsid w:val="00DC23B9"/>
    <w:rsid w:val="00DD74FE"/>
    <w:rsid w:val="00DF0BFF"/>
    <w:rsid w:val="00DF6FEA"/>
    <w:rsid w:val="00E026DA"/>
    <w:rsid w:val="00E04D65"/>
    <w:rsid w:val="00E0773C"/>
    <w:rsid w:val="00E53386"/>
    <w:rsid w:val="00E60841"/>
    <w:rsid w:val="00E62F16"/>
    <w:rsid w:val="00E648BB"/>
    <w:rsid w:val="00E733EE"/>
    <w:rsid w:val="00E7421F"/>
    <w:rsid w:val="00E9350A"/>
    <w:rsid w:val="00E94703"/>
    <w:rsid w:val="00EA4D80"/>
    <w:rsid w:val="00EB10BF"/>
    <w:rsid w:val="00EC2D5D"/>
    <w:rsid w:val="00EC6345"/>
    <w:rsid w:val="00EE28A9"/>
    <w:rsid w:val="00EE4B28"/>
    <w:rsid w:val="00EF2CB7"/>
    <w:rsid w:val="00EF6D52"/>
    <w:rsid w:val="00F00CA5"/>
    <w:rsid w:val="00F20088"/>
    <w:rsid w:val="00F22A12"/>
    <w:rsid w:val="00F243F1"/>
    <w:rsid w:val="00F260AD"/>
    <w:rsid w:val="00F26FB9"/>
    <w:rsid w:val="00F3093A"/>
    <w:rsid w:val="00F46181"/>
    <w:rsid w:val="00F654FC"/>
    <w:rsid w:val="00F70242"/>
    <w:rsid w:val="00F74820"/>
    <w:rsid w:val="00F750AC"/>
    <w:rsid w:val="00F751DC"/>
    <w:rsid w:val="00F761DA"/>
    <w:rsid w:val="00F86899"/>
    <w:rsid w:val="00F92CB8"/>
    <w:rsid w:val="00F956D2"/>
    <w:rsid w:val="00F96067"/>
    <w:rsid w:val="00FA100B"/>
    <w:rsid w:val="00FB38E6"/>
    <w:rsid w:val="00FC357C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34BE6"/>
    <w:pPr>
      <w:spacing w:before="0" w:line="240" w:lineRule="auto"/>
      <w:jc w:val="left"/>
    </w:pPr>
  </w:style>
  <w:style w:type="character" w:customStyle="1" w:styleId="markedcontent">
    <w:name w:val="markedcontent"/>
    <w:basedOn w:val="Domylnaczcionkaakapitu"/>
    <w:rsid w:val="00B34BE6"/>
  </w:style>
  <w:style w:type="table" w:styleId="Tabela-Siatka">
    <w:name w:val="Table Grid"/>
    <w:basedOn w:val="Standardowy"/>
    <w:uiPriority w:val="39"/>
    <w:rsid w:val="00190133"/>
    <w:pPr>
      <w:spacing w:before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2157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Małgorzata Wojtunik</cp:lastModifiedBy>
  <cp:revision>181</cp:revision>
  <dcterms:created xsi:type="dcterms:W3CDTF">2024-12-10T12:55:00Z</dcterms:created>
  <dcterms:modified xsi:type="dcterms:W3CDTF">2026-06-03T12:02:00Z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