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855E" w14:textId="2D2A0D8D" w:rsidR="00B13466" w:rsidRPr="00320A22" w:rsidRDefault="00B13466" w:rsidP="00320A22">
      <w:pPr>
        <w:pStyle w:val="Standard"/>
        <w:autoSpaceDE w:val="0"/>
        <w:ind w:left="5676" w:firstLine="696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1346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</w:t>
      </w:r>
      <w:r w:rsidR="00767AF9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95781D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4</w:t>
      </w:r>
      <w:r w:rsidR="00767AF9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.03.2025</w:t>
      </w:r>
      <w:r w:rsidRPr="00B1346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 </w:t>
      </w:r>
    </w:p>
    <w:p w14:paraId="34B1E0FA" w14:textId="77777777" w:rsidR="00320A22" w:rsidRDefault="00320A22" w:rsidP="00744892">
      <w:pPr>
        <w:jc w:val="center"/>
        <w:rPr>
          <w:b/>
          <w:sz w:val="24"/>
          <w:szCs w:val="24"/>
        </w:rPr>
      </w:pPr>
    </w:p>
    <w:p w14:paraId="4564DD7A" w14:textId="12933701" w:rsidR="00744892" w:rsidRPr="0001413C" w:rsidRDefault="00B13466" w:rsidP="00744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44892" w:rsidRPr="0001413C">
        <w:rPr>
          <w:b/>
          <w:sz w:val="24"/>
          <w:szCs w:val="24"/>
        </w:rPr>
        <w:t>ozeznan</w:t>
      </w:r>
      <w:r>
        <w:rPr>
          <w:b/>
          <w:sz w:val="24"/>
          <w:szCs w:val="24"/>
        </w:rPr>
        <w:t xml:space="preserve">ie </w:t>
      </w:r>
      <w:r w:rsidR="00744892" w:rsidRPr="0001413C">
        <w:rPr>
          <w:b/>
          <w:sz w:val="24"/>
          <w:szCs w:val="24"/>
        </w:rPr>
        <w:t>cenowe</w:t>
      </w:r>
    </w:p>
    <w:p w14:paraId="0F309240" w14:textId="2DCCBEE4" w:rsidR="00744892" w:rsidRPr="002A2C5F" w:rsidRDefault="00B13466" w:rsidP="00744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Przedmiotem rozeznania cenowego jest usługa cateringowa</w:t>
      </w:r>
      <w:r w:rsidR="002A2C5F">
        <w:rPr>
          <w:sz w:val="24"/>
          <w:szCs w:val="24"/>
        </w:rPr>
        <w:t xml:space="preserve"> świadczona</w:t>
      </w:r>
      <w:r>
        <w:rPr>
          <w:sz w:val="24"/>
          <w:szCs w:val="24"/>
        </w:rPr>
        <w:t xml:space="preserve"> podczas realizacji zajęć stacjonarnych w Uniwersytecie Medycznym w Białymstoku dla </w:t>
      </w:r>
      <w:r w:rsidR="002A2C5F">
        <w:rPr>
          <w:sz w:val="24"/>
          <w:szCs w:val="24"/>
        </w:rPr>
        <w:t>Uczestników</w:t>
      </w:r>
      <w:r>
        <w:rPr>
          <w:sz w:val="24"/>
          <w:szCs w:val="24"/>
        </w:rPr>
        <w:t xml:space="preserve"> pierwszej </w:t>
      </w:r>
      <w:r w:rsidR="00744892">
        <w:rPr>
          <w:sz w:val="24"/>
          <w:szCs w:val="24"/>
        </w:rPr>
        <w:t xml:space="preserve">edycji trzysemestralnych studiów </w:t>
      </w:r>
      <w:r w:rsidR="002A2C5F">
        <w:rPr>
          <w:sz w:val="24"/>
          <w:szCs w:val="24"/>
        </w:rPr>
        <w:t>„</w:t>
      </w:r>
      <w:r w:rsidR="00744892">
        <w:rPr>
          <w:sz w:val="24"/>
          <w:szCs w:val="24"/>
        </w:rPr>
        <w:t xml:space="preserve">MBA w Ochronie Zdrowia zintegrowane z Badaniami Klinicznymi i </w:t>
      </w:r>
      <w:proofErr w:type="spellStart"/>
      <w:r w:rsidR="00744892">
        <w:rPr>
          <w:sz w:val="24"/>
          <w:szCs w:val="24"/>
        </w:rPr>
        <w:t>Biobankowaniem</w:t>
      </w:r>
      <w:proofErr w:type="spellEnd"/>
      <w:r w:rsidR="002A2C5F">
        <w:rPr>
          <w:sz w:val="24"/>
          <w:szCs w:val="24"/>
        </w:rPr>
        <w:t>”</w:t>
      </w:r>
      <w:r w:rsidR="00744892">
        <w:rPr>
          <w:sz w:val="24"/>
          <w:szCs w:val="24"/>
        </w:rPr>
        <w:t xml:space="preserve"> </w:t>
      </w:r>
      <w:r w:rsidR="002A2C5F">
        <w:rPr>
          <w:sz w:val="24"/>
          <w:szCs w:val="24"/>
        </w:rPr>
        <w:t xml:space="preserve">obejmująca </w:t>
      </w:r>
      <w:r w:rsidR="00744892">
        <w:rPr>
          <w:sz w:val="24"/>
          <w:szCs w:val="24"/>
        </w:rPr>
        <w:t xml:space="preserve">35 </w:t>
      </w:r>
      <w:r w:rsidR="002A2C5F">
        <w:rPr>
          <w:sz w:val="24"/>
          <w:szCs w:val="24"/>
        </w:rPr>
        <w:t>U</w:t>
      </w:r>
      <w:r w:rsidR="00744892">
        <w:rPr>
          <w:sz w:val="24"/>
          <w:szCs w:val="24"/>
        </w:rPr>
        <w:t>czestników studiów MBA w każdym z 50 dni zajęć stacjonarnych (zjazdy weekendowe: sobota i niedziela)</w:t>
      </w:r>
      <w:r>
        <w:rPr>
          <w:sz w:val="24"/>
          <w:szCs w:val="24"/>
        </w:rPr>
        <w:t xml:space="preserve"> </w:t>
      </w:r>
      <w:r w:rsidRPr="002A2C5F">
        <w:rPr>
          <w:sz w:val="24"/>
          <w:szCs w:val="24"/>
        </w:rPr>
        <w:t xml:space="preserve">w </w:t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Uniwersytecie Medycznym </w:t>
      </w:r>
      <w:r w:rsidR="00767AF9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br/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w Białymstoku – </w:t>
      </w:r>
      <w:proofErr w:type="spellStart"/>
      <w:r w:rsidR="00767AF9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Euroregionalne</w:t>
      </w:r>
      <w:proofErr w:type="spellEnd"/>
      <w:r w:rsidR="00767AF9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 Centrum Farmacji</w:t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, ul. </w:t>
      </w:r>
      <w:r w:rsidR="00767AF9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Mickiewicza 2D</w:t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, 15-</w:t>
      </w:r>
      <w:r w:rsidR="00767AF9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959</w:t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 Białystok</w:t>
      </w:r>
      <w:r w:rsidRPr="002A2C5F">
        <w:rPr>
          <w:sz w:val="24"/>
          <w:szCs w:val="24"/>
        </w:rPr>
        <w:t xml:space="preserve">. </w:t>
      </w:r>
    </w:p>
    <w:p w14:paraId="5F8A447F" w14:textId="2F416974" w:rsidR="00744892" w:rsidRDefault="00744892" w:rsidP="00744892">
      <w:p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Usługa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3466">
        <w:rPr>
          <w:rFonts w:eastAsia="Times New Roman" w:cstheme="minorHAnsi"/>
          <w:sz w:val="24"/>
          <w:szCs w:val="24"/>
          <w:lang w:eastAsia="pl-PL"/>
        </w:rPr>
        <w:t>będzie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realizowan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Pr="00857094">
        <w:rPr>
          <w:sz w:val="24"/>
          <w:szCs w:val="24"/>
        </w:rPr>
        <w:t xml:space="preserve">projektu pn.” MBA w Ochronie Zdrowia zintegrowane z Badaniami Klinicznymi i </w:t>
      </w:r>
      <w:proofErr w:type="spellStart"/>
      <w:r w:rsidRPr="00857094">
        <w:rPr>
          <w:sz w:val="24"/>
          <w:szCs w:val="24"/>
        </w:rPr>
        <w:t>Biobankowaniem</w:t>
      </w:r>
      <w:proofErr w:type="spellEnd"/>
      <w:r w:rsidRPr="00857094">
        <w:rPr>
          <w:sz w:val="24"/>
          <w:szCs w:val="24"/>
        </w:rPr>
        <w:t xml:space="preserve">” (dalej projekt) przez Uniwersytet Medyczny w Białymstoku na podstawie umowy o dofinansowanie nr 2023/ABM/06/00003-00. Projekt Finansowany ze środków budżetu państwa przez Agencję Badań Medycznych w ramach konkursu Nr ABM/2023/6 na opracowanie i realizację autorskiego programu studiów podyplomowych z zakresu nauk biomedycznych. </w:t>
      </w:r>
    </w:p>
    <w:p w14:paraId="49915ECC" w14:textId="18F41A44" w:rsidR="00744892" w:rsidRPr="00EC73BC" w:rsidRDefault="00B13466" w:rsidP="00320A22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b/>
          <w:sz w:val="24"/>
          <w:szCs w:val="24"/>
        </w:rPr>
      </w:pPr>
      <w:r w:rsidRPr="00EC73BC">
        <w:rPr>
          <w:rFonts w:ascii="Calibri" w:hAnsi="Calibri" w:cs="Calibri"/>
          <w:b/>
          <w:sz w:val="24"/>
          <w:szCs w:val="24"/>
        </w:rPr>
        <w:t>Szczegółowy Opis Przedmiotu Zamówienia:</w:t>
      </w:r>
    </w:p>
    <w:p w14:paraId="0CDF7CE8" w14:textId="3A012BBD" w:rsidR="00B13466" w:rsidRDefault="00B13466" w:rsidP="00B13466">
      <w:pPr>
        <w:pStyle w:val="Standard"/>
        <w:numPr>
          <w:ilvl w:val="0"/>
          <w:numId w:val="19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Przedmiot niniejszego zamówienia obejmuje przygotowanie i dostarczenie wyżywienia obejmującego  przerwę kawową dla 35 uczestników studiów MBA w każdym z 50 dni zajęć stacjonarnych (zjazdy weekendowe: sobota i niedziela)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. Ka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żdy dzień szkoleniowy wymaga przygotowania i dostarczenia cateringu obejmującego: przerwę kawową całodzienną (trwającą w każdym dniu zjazdowym 8 godzin 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dydaktycznych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>) = 50 dni zjazdowe x 35 osób =</w:t>
      </w:r>
      <w:r w:rsidR="00B7166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1750 </w:t>
      </w:r>
      <w:proofErr w:type="spellStart"/>
      <w:r w:rsidRPr="00B13466">
        <w:rPr>
          <w:rFonts w:ascii="Calibri" w:eastAsia="Calibri" w:hAnsi="Calibri" w:cs="Times New Roman"/>
          <w:kern w:val="0"/>
          <w:lang w:eastAsia="en-US" w:bidi="ar-SA"/>
        </w:rPr>
        <w:t>uczestnikodni</w:t>
      </w:r>
      <w:proofErr w:type="spellEnd"/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cateringu. Przedmiot zamówienia musi spełniać następujące wymagania (łącznie):</w:t>
      </w:r>
    </w:p>
    <w:p w14:paraId="11DF43D5" w14:textId="77777777" w:rsidR="00767AF9" w:rsidRDefault="00767AF9" w:rsidP="00767AF9">
      <w:pPr>
        <w:pStyle w:val="Standard"/>
        <w:numPr>
          <w:ilvl w:val="0"/>
          <w:numId w:val="20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Wykonawca musi zapewnić Uczestnikom studiów całodzienną przerwę kawową (w sali, w której odbywać się będą zajęcia lub przed wejściem do sali zajęciowej), na którą składają się co najmniej;</w:t>
      </w:r>
    </w:p>
    <w:p w14:paraId="3D39F04F" w14:textId="77777777" w:rsidR="00767AF9" w:rsidRDefault="00767AF9" w:rsidP="00767AF9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woda mineralna gazowana (3 butelki 0,5 l wody na osobę) i woda niegazowana (3 butelki 0,5 l wody na osobę),</w:t>
      </w:r>
    </w:p>
    <w:p w14:paraId="72C4EDCC" w14:textId="77777777" w:rsidR="00767AF9" w:rsidRDefault="00767AF9" w:rsidP="00767AF9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kawa z ekspresu ciśnieniowego (2 urządzenia ciśnieniowe), (zabezpieczone co najmniej 600 ml na osobę) oraz dodatki, tj. mleko: zwierzęce, roślinne, śmietanka do kawy, cukier, stewia,</w:t>
      </w:r>
    </w:p>
    <w:p w14:paraId="07E3A8EB" w14:textId="77777777" w:rsidR="00767AF9" w:rsidRDefault="00767AF9" w:rsidP="00767AF9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herbata - gorąca woda w termosach oraz zestaw herbat czarnych, </w:t>
      </w: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br/>
        <w:t>owocowych, zielonych i ziołowych dodatki: (cukier, cytryna); co najmniej 4 rodzaje herbaty, po jednej herbacie (pakowanej pojedynczo) z każdego zestawu, tj. jedna herbata czarna, jedna owocowa, jedna zielona, jedna ziołowa (minimum 5 herbat na osobę),</w:t>
      </w:r>
    </w:p>
    <w:p w14:paraId="43D3F1F3" w14:textId="77777777" w:rsidR="00767AF9" w:rsidRDefault="00767AF9" w:rsidP="00767AF9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2 rodzaje ciasta (300 g na osobę) podane w czterech kawałkach i owoce </w:t>
      </w: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br/>
        <w:t xml:space="preserve">400 g na osobę. </w:t>
      </w:r>
    </w:p>
    <w:p w14:paraId="34F5C20F" w14:textId="77777777" w:rsidR="00767AF9" w:rsidRDefault="00767AF9" w:rsidP="00767AF9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lastRenderedPageBreak/>
        <w:t>4 rodzaje przekąsek słonych/wytrawnych typu „</w:t>
      </w:r>
      <w:proofErr w:type="spellStart"/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finger</w:t>
      </w:r>
      <w:proofErr w:type="spellEnd"/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 food” w tym </w:t>
      </w: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br/>
        <w:t xml:space="preserve">2 przekąski wegetariańskie i 2 mięsne np. mini kanapki, koreczki </w:t>
      </w: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br/>
        <w:t xml:space="preserve">(co najmniej 5 sztuk przekąsek na osobę). Wykonawca przedstawi propozycję menu na 3 tygodnie przed ustalonymi terminami zjazdów.  Menu nie może się powtarzać przez 4 kolejne zjazdy. </w:t>
      </w:r>
    </w:p>
    <w:p w14:paraId="53227790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b) Wykonawca musi zapewnić serwis gastronomiczny – zapewnienie, przygotowanie i nakrycie stolików/stołów koktajlowych, zapewnienie naczyń -  zastawa stołowa. Seria zastawy ceramiczna/szklana w kolorze jasnym, jednolitym, preferowany kolor biały) tj. : filiżanki, talerzyki, szklanki/kubeczki, sztućce, ekspresy/termosy/podgrzewacze z niezbędnymi kablami/przedłużaczami do ich podłączenia oraz sprzątanie). </w:t>
      </w:r>
    </w:p>
    <w:p w14:paraId="6C51BF67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c) Wykonawca musi zapewnić dostarczenie cateringu na miejsce realizacji zajęć w ramach studiów wskazane przez Zamawiającego w jego siedzibie.</w:t>
      </w:r>
    </w:p>
    <w:p w14:paraId="1728C86F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d) Wykonawca musi dostarczyć produkty przygotowane na przerwy kawowe na miejsce wskazane przez Zamawiającego najpóźniej 30 minut przed planowanym rozpoczęciem zajęć. </w:t>
      </w:r>
    </w:p>
    <w:p w14:paraId="129E011A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e) Wykonawca musi świadczyć usługi cateringowe z wykorzystaniem świeżych produktów żywnościowych oraz przygotować posiłki na bazie produktów wysokiej jakości w dniu świadczenia usługi (napoje gorące powinny posiadać odpowiednią temperaturę w momencie podania, owoce powinny być czyste i dojrzałe, mleko musi mieć odpowiednia datę przydatności do spożycia).</w:t>
      </w:r>
    </w:p>
    <w:p w14:paraId="529CED74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f) Wykonawca musi zapewnić obsługę kelnerską, rozumianą jako działanie osoby lub osób, odpowiedzialnych za rozmieszczenie cateringu oraz sprzątanie w trakcie i po zakończeniu świadczenia usługi. </w:t>
      </w:r>
    </w:p>
    <w:p w14:paraId="694E5F05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g) Wykonawca musi uprzątnąć naczynia i sprzęt gastronomiczny oraz  wywieźć śmieci pozostałe po świadczeniu usługi. </w:t>
      </w:r>
    </w:p>
    <w:p w14:paraId="7EA02186" w14:textId="38E7409E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h) miejsce realizacji zamówienia: miejsce zapewnione przez Zamawiającego w siedzibie Uniwersytetu Medycznego w Białymstoku - </w:t>
      </w:r>
      <w:proofErr w:type="spellStart"/>
      <w:r>
        <w:rPr>
          <w:rFonts w:asciiTheme="minorHAnsi" w:eastAsia="MS Mincho" w:hAnsiTheme="minorHAnsi" w:cstheme="minorHAnsi"/>
          <w:color w:val="000000"/>
          <w:lang w:eastAsia="pl-PL"/>
        </w:rPr>
        <w:t>Euroregionalne</w:t>
      </w:r>
      <w:proofErr w:type="spellEnd"/>
      <w:r>
        <w:rPr>
          <w:rFonts w:asciiTheme="minorHAnsi" w:eastAsia="MS Mincho" w:hAnsiTheme="minorHAnsi" w:cstheme="minorHAnsi"/>
          <w:color w:val="000000"/>
          <w:lang w:eastAsia="pl-PL"/>
        </w:rPr>
        <w:t xml:space="preserve"> Centrum Farmacji</w:t>
      </w:r>
      <w:r w:rsidRPr="002A2C5F">
        <w:rPr>
          <w:rFonts w:asciiTheme="minorHAnsi" w:eastAsia="MS Mincho" w:hAnsiTheme="minorHAnsi" w:cstheme="minorHAnsi"/>
          <w:color w:val="000000"/>
          <w:lang w:eastAsia="pl-PL"/>
        </w:rPr>
        <w:t xml:space="preserve">, ul. </w:t>
      </w:r>
      <w:r>
        <w:rPr>
          <w:rFonts w:asciiTheme="minorHAnsi" w:eastAsia="MS Mincho" w:hAnsiTheme="minorHAnsi" w:cstheme="minorHAnsi"/>
          <w:color w:val="000000"/>
          <w:lang w:eastAsia="pl-PL"/>
        </w:rPr>
        <w:t>Mickiewicza 2D</w:t>
      </w:r>
      <w:r w:rsidRPr="002A2C5F">
        <w:rPr>
          <w:rFonts w:asciiTheme="minorHAnsi" w:eastAsia="MS Mincho" w:hAnsiTheme="minorHAnsi" w:cstheme="minorHAnsi"/>
          <w:color w:val="000000"/>
          <w:lang w:eastAsia="pl-PL"/>
        </w:rPr>
        <w:t>, 15-</w:t>
      </w:r>
      <w:r>
        <w:rPr>
          <w:rFonts w:asciiTheme="minorHAnsi" w:eastAsia="MS Mincho" w:hAnsiTheme="minorHAnsi" w:cstheme="minorHAnsi"/>
          <w:color w:val="000000"/>
          <w:lang w:eastAsia="pl-PL"/>
        </w:rPr>
        <w:t>959</w:t>
      </w:r>
      <w:r w:rsidRPr="002A2C5F">
        <w:rPr>
          <w:rFonts w:asciiTheme="minorHAnsi" w:eastAsia="MS Mincho" w:hAnsiTheme="minorHAnsi" w:cstheme="minorHAnsi"/>
          <w:color w:val="000000"/>
          <w:lang w:eastAsia="pl-PL"/>
        </w:rPr>
        <w:t xml:space="preserve"> Białystok</w:t>
      </w: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 xml:space="preserve"> (sala zajęciowa, korytarz przed salą zajęciową w bezpośredniej bliskości miejsca odbywania zajęć przez uczestników studiów, miejsce umożliwiające swobodne korzystanie przez uczestników z cateringu). </w:t>
      </w:r>
    </w:p>
    <w:p w14:paraId="6033024C" w14:textId="77777777" w:rsidR="00767AF9" w:rsidRDefault="00767AF9" w:rsidP="00767AF9">
      <w:pPr>
        <w:pStyle w:val="Standard"/>
        <w:autoSpaceDE w:val="0"/>
        <w:ind w:left="144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i) realizacja czynności administracyjno-organizacyjnych związanych z realizacją usługi cateringowej:</w:t>
      </w:r>
    </w:p>
    <w:p w14:paraId="1FEBF7C0" w14:textId="0F5741B2" w:rsidR="00767AF9" w:rsidRDefault="00767AF9" w:rsidP="00767AF9">
      <w:pPr>
        <w:pStyle w:val="Standard"/>
        <w:numPr>
          <w:ilvl w:val="0"/>
          <w:numId w:val="22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sporządzenie z każdego zjazdu (2 dni) realizacji cateringu protokołu potwierdzającego uruchomienie i realizację cateringu, w danych dniach zajęciowych na wzorze przekazanym przez Zamawiającego, protokół potwierdzony w dniach realizacji usługi przez osobę z personelu projektu lub prowadzącego zajęcia w dniach realizacji usługi;</w:t>
      </w:r>
    </w:p>
    <w:p w14:paraId="3A8C47EF" w14:textId="77777777" w:rsidR="00767AF9" w:rsidRDefault="00767AF9" w:rsidP="00767AF9">
      <w:pPr>
        <w:pStyle w:val="Standard"/>
        <w:numPr>
          <w:ilvl w:val="0"/>
          <w:numId w:val="22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t>dostarczenie do Zamawiającego lub do wskazanej przez Zamawiającego jednostki organizacyjnej Uczelni (Zamawiającego) lub osoby stanowiącej personel Zamawiającego, protokołów potwierdzających realizację usługi cateringowej w danych dniach zajęciowych;</w:t>
      </w:r>
    </w:p>
    <w:p w14:paraId="32B064BB" w14:textId="77777777" w:rsidR="00767AF9" w:rsidRDefault="00767AF9" w:rsidP="00767AF9">
      <w:pPr>
        <w:pStyle w:val="Standard"/>
        <w:numPr>
          <w:ilvl w:val="0"/>
          <w:numId w:val="22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lang w:eastAsia="pl-PL" w:bidi="ar-SA"/>
        </w:rPr>
        <w:lastRenderedPageBreak/>
        <w:t>oznakowanie miejsca realizacji usługi cateringowej informacją o finansowaniu realizacji usługi ze środków budżetu państwa przez Agencję Badań Medycznych (wzór informacji przekazany zostanie przez Zamawiającego na etapie realizacji przedmiotu zamówienia).</w:t>
      </w:r>
    </w:p>
    <w:p w14:paraId="31C8E61C" w14:textId="77777777" w:rsidR="00B13466" w:rsidRPr="00B13466" w:rsidRDefault="00B13466" w:rsidP="00767AF9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033085A2" w14:textId="77777777" w:rsidR="00B13466" w:rsidRPr="00B13466" w:rsidRDefault="00B13466" w:rsidP="00B13466">
      <w:pPr>
        <w:pStyle w:val="Standard"/>
        <w:autoSpaceDE w:val="0"/>
        <w:ind w:left="180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935783D" w14:textId="56FA35F0" w:rsidR="00320A22" w:rsidRPr="00320A22" w:rsidRDefault="00320A22" w:rsidP="00320A22">
      <w:pPr>
        <w:pStyle w:val="Standard"/>
        <w:numPr>
          <w:ilvl w:val="0"/>
          <w:numId w:val="23"/>
        </w:numPr>
        <w:autoSpaceDE w:val="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320A22">
        <w:rPr>
          <w:rFonts w:ascii="Calibri" w:eastAsia="Calibri" w:hAnsi="Calibri" w:cs="Times New Roman"/>
          <w:b/>
          <w:kern w:val="0"/>
          <w:lang w:eastAsia="en-US" w:bidi="ar-SA"/>
        </w:rPr>
        <w:t xml:space="preserve">Miejsce realizacji usługi cateringowej: </w:t>
      </w:r>
    </w:p>
    <w:p w14:paraId="7E271B36" w14:textId="1269E644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Uniwersytet Medyczn</w:t>
      </w:r>
      <w:r>
        <w:rPr>
          <w:rFonts w:ascii="Calibri" w:eastAsia="Calibri" w:hAnsi="Calibri" w:cs="Times New Roman"/>
          <w:kern w:val="0"/>
          <w:lang w:eastAsia="en-US" w:bidi="ar-SA"/>
        </w:rPr>
        <w:t>y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w Białymstoku – </w:t>
      </w:r>
      <w:proofErr w:type="spellStart"/>
      <w:r w:rsidR="00767AF9">
        <w:rPr>
          <w:rFonts w:asciiTheme="minorHAnsi" w:eastAsia="MS Mincho" w:hAnsiTheme="minorHAnsi" w:cstheme="minorHAnsi"/>
          <w:color w:val="000000"/>
          <w:lang w:eastAsia="pl-PL"/>
        </w:rPr>
        <w:t>Euroregionalne</w:t>
      </w:r>
      <w:proofErr w:type="spellEnd"/>
      <w:r w:rsidR="00767AF9">
        <w:rPr>
          <w:rFonts w:asciiTheme="minorHAnsi" w:eastAsia="MS Mincho" w:hAnsiTheme="minorHAnsi" w:cstheme="minorHAnsi"/>
          <w:color w:val="000000"/>
          <w:lang w:eastAsia="pl-PL"/>
        </w:rPr>
        <w:t xml:space="preserve"> Centrum Farmacji</w:t>
      </w:r>
      <w:r w:rsidR="00767AF9" w:rsidRPr="002A2C5F">
        <w:rPr>
          <w:rFonts w:asciiTheme="minorHAnsi" w:eastAsia="MS Mincho" w:hAnsiTheme="minorHAnsi" w:cstheme="minorHAnsi"/>
          <w:color w:val="000000"/>
          <w:lang w:eastAsia="pl-PL"/>
        </w:rPr>
        <w:t xml:space="preserve">, </w:t>
      </w:r>
      <w:r w:rsidR="00767AF9">
        <w:rPr>
          <w:rFonts w:asciiTheme="minorHAnsi" w:eastAsia="MS Mincho" w:hAnsiTheme="minorHAnsi" w:cstheme="minorHAnsi"/>
          <w:color w:val="000000"/>
          <w:lang w:eastAsia="pl-PL"/>
        </w:rPr>
        <w:br/>
      </w:r>
      <w:r w:rsidR="00767AF9" w:rsidRPr="002A2C5F">
        <w:rPr>
          <w:rFonts w:asciiTheme="minorHAnsi" w:eastAsia="MS Mincho" w:hAnsiTheme="minorHAnsi" w:cstheme="minorHAnsi"/>
          <w:color w:val="000000"/>
          <w:lang w:eastAsia="pl-PL"/>
        </w:rPr>
        <w:t xml:space="preserve">ul. </w:t>
      </w:r>
      <w:r w:rsidR="00767AF9">
        <w:rPr>
          <w:rFonts w:asciiTheme="minorHAnsi" w:eastAsia="MS Mincho" w:hAnsiTheme="minorHAnsi" w:cstheme="minorHAnsi"/>
          <w:color w:val="000000"/>
          <w:lang w:eastAsia="pl-PL"/>
        </w:rPr>
        <w:t>Mickiewicza 2D</w:t>
      </w:r>
      <w:r w:rsidR="00767AF9" w:rsidRPr="002A2C5F">
        <w:rPr>
          <w:rFonts w:asciiTheme="minorHAnsi" w:eastAsia="MS Mincho" w:hAnsiTheme="minorHAnsi" w:cstheme="minorHAnsi"/>
          <w:color w:val="000000"/>
          <w:lang w:eastAsia="pl-PL"/>
        </w:rPr>
        <w:t>, 15-</w:t>
      </w:r>
      <w:r w:rsidR="00767AF9">
        <w:rPr>
          <w:rFonts w:asciiTheme="minorHAnsi" w:eastAsia="MS Mincho" w:hAnsiTheme="minorHAnsi" w:cstheme="minorHAnsi"/>
          <w:color w:val="000000"/>
          <w:lang w:eastAsia="pl-PL"/>
        </w:rPr>
        <w:t>959</w:t>
      </w:r>
      <w:r w:rsidR="00767AF9" w:rsidRPr="002A2C5F">
        <w:rPr>
          <w:rFonts w:asciiTheme="minorHAnsi" w:eastAsia="MS Mincho" w:hAnsiTheme="minorHAnsi" w:cstheme="minorHAnsi"/>
          <w:color w:val="000000"/>
          <w:lang w:eastAsia="pl-PL"/>
        </w:rPr>
        <w:t xml:space="preserve"> Białystok</w:t>
      </w:r>
    </w:p>
    <w:p w14:paraId="05EA2073" w14:textId="36CCBE21" w:rsidR="00320A22" w:rsidRDefault="00320A22" w:rsidP="00320A22">
      <w:pPr>
        <w:pStyle w:val="Standard"/>
        <w:numPr>
          <w:ilvl w:val="0"/>
          <w:numId w:val="23"/>
        </w:numPr>
        <w:autoSpaceDE w:val="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320A22">
        <w:rPr>
          <w:rFonts w:ascii="Calibri" w:eastAsia="Calibri" w:hAnsi="Calibri" w:cs="Times New Roman"/>
          <w:b/>
          <w:kern w:val="0"/>
          <w:lang w:eastAsia="en-US" w:bidi="ar-SA"/>
        </w:rPr>
        <w:t>Planowany termin realizacji usługi:</w:t>
      </w:r>
    </w:p>
    <w:p w14:paraId="67A6C6BC" w14:textId="46FE3AC7" w:rsidR="00EC73BC" w:rsidRPr="0083791B" w:rsidRDefault="0083791B" w:rsidP="00EC73BC">
      <w:pPr>
        <w:pStyle w:val="Akapitzli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bookmarkStart w:id="1" w:name="_GoBack"/>
      <w:bookmarkEnd w:id="1"/>
      <w:r w:rsidR="00111018" w:rsidRPr="0083791B">
        <w:rPr>
          <w:rFonts w:ascii="Calibri" w:hAnsi="Calibri" w:cs="Calibri"/>
          <w:sz w:val="24"/>
          <w:szCs w:val="24"/>
        </w:rPr>
        <w:t xml:space="preserve">rzesień 2025 r.  – luty 2027 r. </w:t>
      </w:r>
    </w:p>
    <w:p w14:paraId="287C0DFD" w14:textId="131CA1CA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Termin realizacji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usług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cateringow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ych zostanie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poda</w:t>
      </w:r>
      <w:r>
        <w:rPr>
          <w:rFonts w:ascii="Calibri" w:eastAsia="Calibri" w:hAnsi="Calibri" w:cs="Times New Roman"/>
          <w:kern w:val="0"/>
          <w:lang w:eastAsia="en-US" w:bidi="ar-SA"/>
        </w:rPr>
        <w:t>ny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przez Zamawiającego z odpowiednim wyprzedzeniem. </w:t>
      </w:r>
    </w:p>
    <w:p w14:paraId="444BA674" w14:textId="77777777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Zamawiający zastrzega sobie możliwość zmiany terminów, o czym Wykonawca zostanie poinformowany z odpowiednim wyprzedzeniem. </w:t>
      </w:r>
    </w:p>
    <w:p w14:paraId="4675A1C0" w14:textId="172261C2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1D0CFC10" w14:textId="4B8067EE" w:rsidR="00627F62" w:rsidRDefault="00627F6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b/>
          <w:kern w:val="0"/>
          <w:lang w:eastAsia="en-US" w:bidi="ar-SA"/>
        </w:rPr>
        <w:t>Przy wycenie proszę uwzględnić w osobnych pozycjach:</w:t>
      </w:r>
    </w:p>
    <w:p w14:paraId="181FEDE1" w14:textId="1BF5911B" w:rsidR="00627F62" w:rsidRDefault="00627F6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</w:p>
    <w:p w14:paraId="36CC6D69" w14:textId="43494B17" w:rsidR="00627F62" w:rsidRDefault="00627F62" w:rsidP="00627F62">
      <w:pPr>
        <w:pStyle w:val="Standard"/>
        <w:numPr>
          <w:ilvl w:val="0"/>
          <w:numId w:val="24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kern w:val="0"/>
          <w:lang w:eastAsia="en-US" w:bidi="ar-SA"/>
        </w:rPr>
        <w:t xml:space="preserve">Cenę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jednostkową za jednego słuchacza </w:t>
      </w:r>
      <w:r w:rsidR="00B71664">
        <w:rPr>
          <w:rFonts w:ascii="Calibri" w:eastAsia="Calibri" w:hAnsi="Calibri" w:cs="Times New Roman"/>
          <w:kern w:val="0"/>
          <w:lang w:eastAsia="en-US" w:bidi="ar-SA"/>
        </w:rPr>
        <w:t>(brutto)</w:t>
      </w:r>
    </w:p>
    <w:p w14:paraId="6DD29382" w14:textId="4A9B4164" w:rsidR="00B71664" w:rsidRDefault="00B71664" w:rsidP="00627F62">
      <w:pPr>
        <w:pStyle w:val="Standard"/>
        <w:numPr>
          <w:ilvl w:val="0"/>
          <w:numId w:val="24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Cenę za całość zamówienia (brutto)</w:t>
      </w:r>
    </w:p>
    <w:p w14:paraId="3E08AA6F" w14:textId="6D7F29A1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26D065D" w14:textId="6B9A07CE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0F2A6ADE" w14:textId="69527208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1AED7D44" w14:textId="4C777FAC" w:rsidR="00B71664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Zamawiający informuje, że przedmiotowe zaproszenie nie stanowi oferty w rozumieniu </w:t>
      </w:r>
      <w:r w:rsidR="004065D5">
        <w:rPr>
          <w:rFonts w:ascii="Calibri" w:eastAsia="Calibri" w:hAnsi="Calibri" w:cs="Times New Roman"/>
          <w:kern w:val="0"/>
          <w:lang w:eastAsia="en-US" w:bidi="ar-SA"/>
        </w:rPr>
        <w:br/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art. 66 KC ani też nie jest ogłoszeniem o zamówieniu w rozumieniu ustawy z dnia 29 stycznia 2004 r. – Prawo zamówień publicznych. </w:t>
      </w:r>
    </w:p>
    <w:p w14:paraId="2A61C85F" w14:textId="77777777" w:rsidR="00B71664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7D499367" w14:textId="693CB5F8" w:rsidR="00B71664" w:rsidRPr="00627F62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Ma ono wyłącznie na celu rozeznanie cenowe rynku wśród firm mogących zrealizować powyższe zamówienie oraz uzyskanie wiedzy na temat szacunkowych kosztów związanych z planowanym zamówieniem publicznym. </w:t>
      </w:r>
    </w:p>
    <w:p w14:paraId="779AACF9" w14:textId="253D9479" w:rsidR="00320A22" w:rsidRPr="00627F6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14:paraId="051E2DFA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71D67582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B66E414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548A3D0" w14:textId="77777777" w:rsidR="00B13466" w:rsidRPr="00B13466" w:rsidRDefault="00B13466" w:rsidP="00B13466">
      <w:pPr>
        <w:pStyle w:val="Standard"/>
        <w:autoSpaceDE w:val="0"/>
        <w:ind w:left="720"/>
        <w:rPr>
          <w:rFonts w:ascii="Calibri" w:eastAsia="Calibri" w:hAnsi="Calibri" w:cs="Times New Roman"/>
          <w:kern w:val="0"/>
          <w:lang w:eastAsia="en-US" w:bidi="ar-SA"/>
        </w:rPr>
      </w:pPr>
    </w:p>
    <w:p w14:paraId="0EC14685" w14:textId="77777777" w:rsidR="00B13466" w:rsidRPr="00B13466" w:rsidRDefault="00B13466" w:rsidP="00B13466">
      <w:pPr>
        <w:pStyle w:val="Standard"/>
        <w:autoSpaceDE w:val="0"/>
        <w:ind w:left="720"/>
        <w:rPr>
          <w:rFonts w:ascii="Calibri" w:eastAsia="Calibri" w:hAnsi="Calibri" w:cs="Times New Roman"/>
          <w:kern w:val="0"/>
          <w:lang w:eastAsia="en-US" w:bidi="ar-SA"/>
        </w:rPr>
      </w:pPr>
    </w:p>
    <w:p w14:paraId="68A94410" w14:textId="40A515D2" w:rsidR="00711B55" w:rsidRDefault="00711B55" w:rsidP="004065D5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1842E45F" w14:textId="77777777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25A349A7" w14:textId="0F52C3D1" w:rsidR="00321D50" w:rsidRDefault="00321D50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752EF02E" w14:textId="77777777" w:rsidR="00711B55" w:rsidRPr="00321D50" w:rsidRDefault="00711B55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sectPr w:rsidR="00711B55" w:rsidRPr="00321D50" w:rsidSect="00853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EA23" w14:textId="77777777" w:rsidR="003474C7" w:rsidRDefault="003474C7" w:rsidP="00890073">
      <w:r>
        <w:separator/>
      </w:r>
    </w:p>
  </w:endnote>
  <w:endnote w:type="continuationSeparator" w:id="0">
    <w:p w14:paraId="50C5D0B0" w14:textId="77777777" w:rsidR="003474C7" w:rsidRDefault="003474C7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2BA9" w14:textId="77777777" w:rsidR="00C13941" w:rsidRDefault="00C139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0AE8EA60" w14:textId="5A949357" w:rsidR="00CE051B" w:rsidRPr="00B13466" w:rsidRDefault="00C13941" w:rsidP="00B13466">
        <w:pPr>
          <w:pStyle w:val="Stopka"/>
          <w:jc w:val="center"/>
          <w:rPr>
            <w:i/>
            <w:sz w:val="18"/>
            <w:szCs w:val="18"/>
          </w:rPr>
        </w:pPr>
        <w:r>
          <w:t xml:space="preserve"> </w:t>
        </w:r>
        <w:r w:rsidRPr="00F44F5C">
          <w:rPr>
            <w:i/>
            <w:sz w:val="18"/>
            <w:szCs w:val="18"/>
          </w:rPr>
          <w:t xml:space="preserve">Projekt </w:t>
        </w:r>
        <w:r w:rsidR="00C47FB0" w:rsidRPr="00F44F5C">
          <w:rPr>
            <w:i/>
            <w:sz w:val="18"/>
            <w:szCs w:val="18"/>
          </w:rPr>
          <w:t>„MBA w Ochronie Zdrowia zintegrowan</w:t>
        </w:r>
        <w:r w:rsidR="00F44F5C">
          <w:rPr>
            <w:i/>
            <w:sz w:val="18"/>
            <w:szCs w:val="18"/>
          </w:rPr>
          <w:t>y</w:t>
        </w:r>
        <w:r w:rsidR="00C47FB0" w:rsidRPr="00F44F5C">
          <w:rPr>
            <w:i/>
            <w:sz w:val="18"/>
            <w:szCs w:val="18"/>
          </w:rPr>
          <w:t xml:space="preserve"> z Badaniami Klinicznymi i </w:t>
        </w:r>
        <w:proofErr w:type="spellStart"/>
        <w:r w:rsidR="00C47FB0" w:rsidRPr="00F44F5C">
          <w:rPr>
            <w:i/>
            <w:sz w:val="18"/>
            <w:szCs w:val="18"/>
          </w:rPr>
          <w:t>Biobankowaniem</w:t>
        </w:r>
        <w:proofErr w:type="spellEnd"/>
        <w:r w:rsidR="00C47FB0" w:rsidRPr="00F44F5C">
          <w:rPr>
            <w:i/>
            <w:sz w:val="18"/>
            <w:szCs w:val="18"/>
          </w:rPr>
          <w:t xml:space="preserve">” finansowany ze środków budżetu państwa przez Agencję Badań Medycznych w ramach konkursu </w:t>
        </w:r>
        <w:r w:rsidR="00C47FB0" w:rsidRPr="00F44F5C">
          <w:rPr>
            <w:i/>
            <w:sz w:val="18"/>
            <w:szCs w:val="18"/>
          </w:rPr>
          <w:br/>
          <w:t>NR ABM/2023/6 na opracowanie i realizację autorskiego programu studiów podyplomowych z zakresu nauk biomedycznych</w:t>
        </w:r>
      </w:p>
      <w:p w14:paraId="23197C31" w14:textId="07B227FE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4B05" w14:textId="77777777" w:rsidR="00C13941" w:rsidRDefault="00C1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9D9D" w14:textId="77777777" w:rsidR="003474C7" w:rsidRDefault="003474C7" w:rsidP="00890073">
      <w:bookmarkStart w:id="0" w:name="_Hlk124760757"/>
      <w:bookmarkEnd w:id="0"/>
      <w:r>
        <w:separator/>
      </w:r>
    </w:p>
  </w:footnote>
  <w:footnote w:type="continuationSeparator" w:id="0">
    <w:p w14:paraId="1C3149DC" w14:textId="77777777" w:rsidR="003474C7" w:rsidRDefault="003474C7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BB29" w14:textId="77777777" w:rsidR="00C13941" w:rsidRDefault="00C139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61D5F120" w:rsidR="0034537C" w:rsidRDefault="00DB585A" w:rsidP="0034537C">
    <w:pPr>
      <w:pStyle w:val="Stopka"/>
      <w:jc w:val="center"/>
    </w:pPr>
    <w:r w:rsidRPr="009F2C9F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9055FA" wp14:editId="6F0AEA17">
          <wp:simplePos x="0" y="0"/>
          <wp:positionH relativeFrom="margin">
            <wp:posOffset>-205740</wp:posOffset>
          </wp:positionH>
          <wp:positionV relativeFrom="topMargin">
            <wp:posOffset>457200</wp:posOffset>
          </wp:positionV>
          <wp:extent cx="1612886" cy="672115"/>
          <wp:effectExtent l="0" t="0" r="6985" b="0"/>
          <wp:wrapNone/>
          <wp:docPr id="763489996" name="Picture 76348999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86" cy="67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37C">
      <w:tab/>
    </w:r>
    <w:r w:rsidR="0034537C">
      <w:tab/>
    </w:r>
    <w:r w:rsidR="0034537C"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9FD4" w14:textId="77777777" w:rsidR="00C13941" w:rsidRDefault="00C13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8A"/>
    <w:multiLevelType w:val="hybridMultilevel"/>
    <w:tmpl w:val="70D03F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CCD"/>
    <w:multiLevelType w:val="hybridMultilevel"/>
    <w:tmpl w:val="2B92C9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1D53B7"/>
    <w:multiLevelType w:val="hybridMultilevel"/>
    <w:tmpl w:val="B008D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681"/>
    <w:multiLevelType w:val="hybridMultilevel"/>
    <w:tmpl w:val="D98A22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D5452"/>
    <w:multiLevelType w:val="hybridMultilevel"/>
    <w:tmpl w:val="2FAA03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C91CDE"/>
    <w:multiLevelType w:val="hybridMultilevel"/>
    <w:tmpl w:val="28EA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2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7"/>
  </w:num>
  <w:num w:numId="12">
    <w:abstractNumId w:val="11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0"/>
  </w:num>
  <w:num w:numId="22">
    <w:abstractNumId w:val="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137AC"/>
    <w:rsid w:val="00020B81"/>
    <w:rsid w:val="00025046"/>
    <w:rsid w:val="000330A4"/>
    <w:rsid w:val="00065763"/>
    <w:rsid w:val="00075C02"/>
    <w:rsid w:val="00095556"/>
    <w:rsid w:val="000C5A47"/>
    <w:rsid w:val="000C78EF"/>
    <w:rsid w:val="000D0990"/>
    <w:rsid w:val="000D47C5"/>
    <w:rsid w:val="000D5D44"/>
    <w:rsid w:val="000F731D"/>
    <w:rsid w:val="001011CF"/>
    <w:rsid w:val="00111018"/>
    <w:rsid w:val="00122670"/>
    <w:rsid w:val="0012771D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E1D9D"/>
    <w:rsid w:val="001F0629"/>
    <w:rsid w:val="002258F5"/>
    <w:rsid w:val="002321B1"/>
    <w:rsid w:val="002456B5"/>
    <w:rsid w:val="002555C2"/>
    <w:rsid w:val="0028160F"/>
    <w:rsid w:val="002830AE"/>
    <w:rsid w:val="00295AD9"/>
    <w:rsid w:val="002A2C5F"/>
    <w:rsid w:val="002E1D61"/>
    <w:rsid w:val="002F0025"/>
    <w:rsid w:val="002F168D"/>
    <w:rsid w:val="00316925"/>
    <w:rsid w:val="00320A22"/>
    <w:rsid w:val="00320F99"/>
    <w:rsid w:val="00321D50"/>
    <w:rsid w:val="00332D9D"/>
    <w:rsid w:val="00342ACC"/>
    <w:rsid w:val="0034537C"/>
    <w:rsid w:val="003474C7"/>
    <w:rsid w:val="003668D7"/>
    <w:rsid w:val="003A7FB2"/>
    <w:rsid w:val="003B0E40"/>
    <w:rsid w:val="003F7FBC"/>
    <w:rsid w:val="004065D5"/>
    <w:rsid w:val="00410801"/>
    <w:rsid w:val="00421D27"/>
    <w:rsid w:val="00421DA6"/>
    <w:rsid w:val="00423A80"/>
    <w:rsid w:val="004376D9"/>
    <w:rsid w:val="00454DDA"/>
    <w:rsid w:val="00466710"/>
    <w:rsid w:val="004C51F6"/>
    <w:rsid w:val="004C6C81"/>
    <w:rsid w:val="00501F75"/>
    <w:rsid w:val="00505AFD"/>
    <w:rsid w:val="0051693F"/>
    <w:rsid w:val="00521718"/>
    <w:rsid w:val="00533D39"/>
    <w:rsid w:val="00537514"/>
    <w:rsid w:val="00541618"/>
    <w:rsid w:val="00541EFB"/>
    <w:rsid w:val="005733CA"/>
    <w:rsid w:val="00580A8F"/>
    <w:rsid w:val="00583C76"/>
    <w:rsid w:val="00584821"/>
    <w:rsid w:val="00594731"/>
    <w:rsid w:val="005A44C7"/>
    <w:rsid w:val="005C2DF1"/>
    <w:rsid w:val="005D3A2A"/>
    <w:rsid w:val="005E4B27"/>
    <w:rsid w:val="005F72FC"/>
    <w:rsid w:val="00627F62"/>
    <w:rsid w:val="00630BDE"/>
    <w:rsid w:val="00636D7A"/>
    <w:rsid w:val="00651B5C"/>
    <w:rsid w:val="00656484"/>
    <w:rsid w:val="00656FE2"/>
    <w:rsid w:val="00695140"/>
    <w:rsid w:val="006A045C"/>
    <w:rsid w:val="006C197B"/>
    <w:rsid w:val="006C28C9"/>
    <w:rsid w:val="006D521D"/>
    <w:rsid w:val="006E05DE"/>
    <w:rsid w:val="006F01FC"/>
    <w:rsid w:val="00701D30"/>
    <w:rsid w:val="007059C5"/>
    <w:rsid w:val="00706EC3"/>
    <w:rsid w:val="00711B55"/>
    <w:rsid w:val="00723438"/>
    <w:rsid w:val="00744892"/>
    <w:rsid w:val="007477F2"/>
    <w:rsid w:val="00767AF9"/>
    <w:rsid w:val="00767B98"/>
    <w:rsid w:val="0077061D"/>
    <w:rsid w:val="00783875"/>
    <w:rsid w:val="00786040"/>
    <w:rsid w:val="0080696D"/>
    <w:rsid w:val="00807545"/>
    <w:rsid w:val="0083791B"/>
    <w:rsid w:val="00837EBA"/>
    <w:rsid w:val="008402A4"/>
    <w:rsid w:val="008523F3"/>
    <w:rsid w:val="008530B8"/>
    <w:rsid w:val="00857094"/>
    <w:rsid w:val="0087438D"/>
    <w:rsid w:val="00890073"/>
    <w:rsid w:val="00891926"/>
    <w:rsid w:val="008957A0"/>
    <w:rsid w:val="008D5559"/>
    <w:rsid w:val="008D7839"/>
    <w:rsid w:val="008F18E7"/>
    <w:rsid w:val="008F423C"/>
    <w:rsid w:val="00903341"/>
    <w:rsid w:val="009059C7"/>
    <w:rsid w:val="00906313"/>
    <w:rsid w:val="00907848"/>
    <w:rsid w:val="00911456"/>
    <w:rsid w:val="009155F8"/>
    <w:rsid w:val="00923734"/>
    <w:rsid w:val="00923C3A"/>
    <w:rsid w:val="00925052"/>
    <w:rsid w:val="00930210"/>
    <w:rsid w:val="00946021"/>
    <w:rsid w:val="0095781D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F3ED1"/>
    <w:rsid w:val="00AF417A"/>
    <w:rsid w:val="00B13466"/>
    <w:rsid w:val="00B20E92"/>
    <w:rsid w:val="00B244A0"/>
    <w:rsid w:val="00B31045"/>
    <w:rsid w:val="00B36164"/>
    <w:rsid w:val="00B36F5D"/>
    <w:rsid w:val="00B42439"/>
    <w:rsid w:val="00B71664"/>
    <w:rsid w:val="00B76A4E"/>
    <w:rsid w:val="00BB1BA9"/>
    <w:rsid w:val="00BD1612"/>
    <w:rsid w:val="00BE62BC"/>
    <w:rsid w:val="00C13941"/>
    <w:rsid w:val="00C21FFB"/>
    <w:rsid w:val="00C226B6"/>
    <w:rsid w:val="00C26D54"/>
    <w:rsid w:val="00C27444"/>
    <w:rsid w:val="00C47FB0"/>
    <w:rsid w:val="00C51C5B"/>
    <w:rsid w:val="00C56001"/>
    <w:rsid w:val="00C620FB"/>
    <w:rsid w:val="00C75E16"/>
    <w:rsid w:val="00C90C44"/>
    <w:rsid w:val="00C91FD0"/>
    <w:rsid w:val="00C96DC5"/>
    <w:rsid w:val="00CC3D7A"/>
    <w:rsid w:val="00CD4444"/>
    <w:rsid w:val="00CD7C3D"/>
    <w:rsid w:val="00CE051B"/>
    <w:rsid w:val="00CE28F2"/>
    <w:rsid w:val="00CF53C1"/>
    <w:rsid w:val="00D05672"/>
    <w:rsid w:val="00D20240"/>
    <w:rsid w:val="00D53456"/>
    <w:rsid w:val="00D6017B"/>
    <w:rsid w:val="00D746CD"/>
    <w:rsid w:val="00DB231B"/>
    <w:rsid w:val="00DB585A"/>
    <w:rsid w:val="00DB7ED3"/>
    <w:rsid w:val="00DC04F0"/>
    <w:rsid w:val="00DE387C"/>
    <w:rsid w:val="00E048FF"/>
    <w:rsid w:val="00E139F5"/>
    <w:rsid w:val="00E44D07"/>
    <w:rsid w:val="00E5145B"/>
    <w:rsid w:val="00E64CB3"/>
    <w:rsid w:val="00E90C6E"/>
    <w:rsid w:val="00E91F6F"/>
    <w:rsid w:val="00EA03C3"/>
    <w:rsid w:val="00EA05C0"/>
    <w:rsid w:val="00EC73BC"/>
    <w:rsid w:val="00EC790A"/>
    <w:rsid w:val="00EE75DE"/>
    <w:rsid w:val="00EF2D09"/>
    <w:rsid w:val="00F16496"/>
    <w:rsid w:val="00F202D2"/>
    <w:rsid w:val="00F30B4A"/>
    <w:rsid w:val="00F33A10"/>
    <w:rsid w:val="00F44F5C"/>
    <w:rsid w:val="00F55EA5"/>
    <w:rsid w:val="00F76772"/>
    <w:rsid w:val="00F91B5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3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316DB-BC9B-457D-8B34-C92D91EF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14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</cp:lastModifiedBy>
  <cp:revision>6</cp:revision>
  <cp:lastPrinted>2023-06-06T16:18:00Z</cp:lastPrinted>
  <dcterms:created xsi:type="dcterms:W3CDTF">2025-03-11T12:36:00Z</dcterms:created>
  <dcterms:modified xsi:type="dcterms:W3CDTF">2025-03-14T09:49:00Z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