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16" w:rsidRPr="00E82A21" w:rsidRDefault="001D7616" w:rsidP="0002279C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02279C" w:rsidRPr="00E82A21" w:rsidRDefault="0002279C" w:rsidP="007A3F60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</w:rPr>
      </w:pPr>
      <w:r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Organizacja imprezy turystycznej</w:t>
      </w:r>
      <w:r w:rsidR="00A551E0"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</w:t>
      </w:r>
      <w:r w:rsidR="007A3F6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„Welcome to </w:t>
      </w:r>
      <w:proofErr w:type="spellStart"/>
      <w:r w:rsidR="007A3F6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>Bialystok</w:t>
      </w:r>
      <w:proofErr w:type="spellEnd"/>
      <w:r w:rsidR="007A3F6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III</w:t>
      </w:r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International </w:t>
      </w:r>
      <w:proofErr w:type="spellStart"/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>Sightseeing</w:t>
      </w:r>
      <w:proofErr w:type="spellEnd"/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Day” w ramach projektu </w:t>
      </w:r>
      <w:r w:rsidR="00A551E0"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pt.</w:t>
      </w:r>
      <w:r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„</w:t>
      </w:r>
      <w:r w:rsidR="007A3F60" w:rsidRPr="00E82A21">
        <w:rPr>
          <w:rFonts w:ascii="Times New Roman" w:hAnsi="Times New Roman"/>
          <w:b/>
          <w:sz w:val="28"/>
        </w:rPr>
        <w:t>Mosty zamiast murów. Wzmocnienie komunikacji i zdolności do obsługi zagranicznych interesariuszy uczelni</w:t>
      </w:r>
      <w:r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”. </w:t>
      </w:r>
      <w:r w:rsidR="007A3F60" w:rsidRPr="00E82A21">
        <w:rPr>
          <w:rFonts w:ascii="Times New Roman" w:hAnsi="Times New Roman"/>
          <w:b/>
          <w:bCs/>
          <w:sz w:val="28"/>
        </w:rPr>
        <w:t>Projekt finansowany przez Narodową Agencję Wymiany Akademickiej w ramach Programu Welcome to Poland (2023).</w:t>
      </w:r>
    </w:p>
    <w:p w:rsidR="007A3F60" w:rsidRPr="00E82A21" w:rsidRDefault="007A3F60" w:rsidP="007A3F60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lang w:eastAsia="pl-PL"/>
        </w:rPr>
      </w:pPr>
    </w:p>
    <w:p w:rsidR="00A551E0" w:rsidRPr="00E82A21" w:rsidRDefault="000C39CF" w:rsidP="0002279C">
      <w:pPr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  <w:r w:rsidRPr="00E82A21">
        <w:rPr>
          <w:rFonts w:ascii="Times New Roman" w:hAnsi="Times New Roman"/>
        </w:rPr>
        <w:t>Wykonawca wybrany zgodnie z art. 2 ust. 1 pkt 1 ustawy z dnia 11 września 2019 r. Prawo zamówień publicznych (</w:t>
      </w:r>
      <w:proofErr w:type="spellStart"/>
      <w:r w:rsidRPr="00E82A21">
        <w:rPr>
          <w:rFonts w:ascii="Times New Roman" w:hAnsi="Times New Roman"/>
        </w:rPr>
        <w:t>t.j</w:t>
      </w:r>
      <w:proofErr w:type="spellEnd"/>
      <w:r w:rsidRPr="00E82A21">
        <w:rPr>
          <w:rFonts w:ascii="Times New Roman" w:hAnsi="Times New Roman"/>
        </w:rPr>
        <w:t>. Dz. U. z 2023 r., poz. 1605, ze zm.) – wartość usługi nie przekracza 130 tys. zł netto.</w:t>
      </w:r>
    </w:p>
    <w:p w:rsidR="000C39CF" w:rsidRPr="00E82A21" w:rsidRDefault="000C39CF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Nr sprawy: </w:t>
      </w:r>
    </w:p>
    <w:p w:rsidR="0002279C" w:rsidRPr="00E82A21" w:rsidRDefault="006C6690" w:rsidP="0002279C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</w:rPr>
      </w:pPr>
      <w:r w:rsidRPr="00E82A21">
        <w:rPr>
          <w:rFonts w:ascii="Times New Roman" w:hAnsi="Times New Roman"/>
          <w:color w:val="000000"/>
        </w:rPr>
        <w:t>AWM/NAW/1/2024/TM</w:t>
      </w:r>
    </w:p>
    <w:p w:rsidR="006C6690" w:rsidRPr="00E82A21" w:rsidRDefault="006C6690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Data (wystawienia): </w:t>
      </w:r>
    </w:p>
    <w:p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02279C" w:rsidRPr="00E82A21" w:rsidRDefault="009E6120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>24</w:t>
      </w:r>
      <w:r w:rsidR="0002279C" w:rsidRPr="00E82A21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>07</w:t>
      </w:r>
      <w:r w:rsidR="0002279C" w:rsidRPr="00E82A21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>2024</w:t>
      </w:r>
      <w:r w:rsidR="0002279C" w:rsidRPr="00E82A21">
        <w:rPr>
          <w:rFonts w:ascii="Times New Roman" w:eastAsia="Times New Roman" w:hAnsi="Times New Roman"/>
          <w:color w:val="000000" w:themeColor="text1"/>
          <w:lang w:eastAsia="pl-PL"/>
        </w:rPr>
        <w:t xml:space="preserve"> r. </w:t>
      </w:r>
    </w:p>
    <w:p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02279C" w:rsidRPr="00E82A21" w:rsidRDefault="0002279C" w:rsidP="0002279C">
      <w:pPr>
        <w:shd w:val="clear" w:color="auto" w:fill="FFFFFF"/>
        <w:suppressAutoHyphens/>
        <w:spacing w:before="144" w:after="288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Kod CPV:</w:t>
      </w:r>
    </w:p>
    <w:p w:rsidR="0002279C" w:rsidRPr="00E82A21" w:rsidRDefault="0002279C" w:rsidP="0002279C">
      <w:pPr>
        <w:shd w:val="clear" w:color="auto" w:fill="FFFFFF"/>
        <w:suppressAutoHyphens/>
        <w:spacing w:before="144" w:after="288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63511000-4: Organizacja wycieczek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63514000-5: Usługi świadczone przez przewodników turystycznych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60100000-9: Usługi w zakresie transportu drogowego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55300000-3: Usługi restauracyjne i dotyczące podawania posiłków</w:t>
      </w:r>
    </w:p>
    <w:p w:rsidR="0002279C" w:rsidRPr="00E82A21" w:rsidRDefault="0002279C" w:rsidP="000227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I. Zapytanie ofertowe - Przedmiot zamówienia</w:t>
      </w:r>
    </w:p>
    <w:p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1. Rodzaj zamówienia: </w:t>
      </w:r>
    </w:p>
    <w:p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 Usługi</w:t>
      </w:r>
    </w:p>
    <w:p w:rsidR="00C70DCC" w:rsidRPr="00E82A21" w:rsidRDefault="00C70DC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2. Opis przedmiotu zamówienia: 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C70DCC" w:rsidRPr="00E82A21" w:rsidRDefault="00C70DCC" w:rsidP="00CA7CD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  <w:r w:rsidRPr="00E82A21">
        <w:rPr>
          <w:rFonts w:ascii="Times New Roman" w:hAnsi="Times New Roman"/>
        </w:rPr>
        <w:t>Usługa polega na przygotowaniu i przeprowadzeniu jednodniowej impre</w:t>
      </w:r>
      <w:r w:rsidR="002B30E2" w:rsidRPr="00E82A21">
        <w:rPr>
          <w:rFonts w:ascii="Times New Roman" w:hAnsi="Times New Roman"/>
        </w:rPr>
        <w:t>zy o charakterze turystycznym pt</w:t>
      </w:r>
      <w:r w:rsidRPr="00E82A21">
        <w:rPr>
          <w:rFonts w:ascii="Times New Roman" w:hAnsi="Times New Roman"/>
        </w:rPr>
        <w:t xml:space="preserve">. „Welcome to </w:t>
      </w:r>
      <w:proofErr w:type="spellStart"/>
      <w:r w:rsidRPr="00E82A21">
        <w:rPr>
          <w:rFonts w:ascii="Times New Roman" w:hAnsi="Times New Roman"/>
        </w:rPr>
        <w:t>Bialystok</w:t>
      </w:r>
      <w:proofErr w:type="spellEnd"/>
      <w:r w:rsidRPr="00E82A21">
        <w:rPr>
          <w:rFonts w:ascii="Times New Roman" w:hAnsi="Times New Roman"/>
        </w:rPr>
        <w:t xml:space="preserve"> - I</w:t>
      </w:r>
      <w:r w:rsidR="007A3F60" w:rsidRPr="00E82A21">
        <w:rPr>
          <w:rFonts w:ascii="Times New Roman" w:hAnsi="Times New Roman"/>
        </w:rPr>
        <w:t>I</w:t>
      </w:r>
      <w:r w:rsidRPr="00E82A21">
        <w:rPr>
          <w:rFonts w:ascii="Times New Roman" w:hAnsi="Times New Roman"/>
        </w:rPr>
        <w:t xml:space="preserve">I International </w:t>
      </w:r>
      <w:proofErr w:type="spellStart"/>
      <w:r w:rsidRPr="00E82A21">
        <w:rPr>
          <w:rFonts w:ascii="Times New Roman" w:hAnsi="Times New Roman"/>
        </w:rPr>
        <w:t>Sightseeing</w:t>
      </w:r>
      <w:proofErr w:type="spellEnd"/>
      <w:r w:rsidRPr="00E82A21">
        <w:rPr>
          <w:rFonts w:ascii="Times New Roman" w:hAnsi="Times New Roman"/>
        </w:rPr>
        <w:t xml:space="preserve"> Day”. </w:t>
      </w:r>
      <w:bookmarkStart w:id="0" w:name="_Hlk111019813"/>
      <w:r w:rsidRPr="00E82A21">
        <w:rPr>
          <w:rFonts w:ascii="Times New Roman" w:hAnsi="Times New Roman"/>
        </w:rPr>
        <w:t>Zamówienie dotyczy projektu „</w:t>
      </w:r>
      <w:r w:rsidR="007A3F60" w:rsidRPr="00E82A21">
        <w:rPr>
          <w:rFonts w:ascii="Times New Roman" w:eastAsia="Times New Roman" w:hAnsi="Times New Roman"/>
          <w:lang w:eastAsia="en-GB"/>
        </w:rPr>
        <w:t>Mosty zamiast murów. Wzmocnienie komunikacji i zdolności do obsługi zagranicznyc</w:t>
      </w:r>
      <w:r w:rsidR="00793BDE" w:rsidRPr="00E82A21">
        <w:rPr>
          <w:rFonts w:ascii="Times New Roman" w:eastAsia="Times New Roman" w:hAnsi="Times New Roman"/>
          <w:lang w:eastAsia="en-GB"/>
        </w:rPr>
        <w:t>h interesariuszy uczelni</w:t>
      </w:r>
      <w:r w:rsidRPr="00E82A21">
        <w:rPr>
          <w:rFonts w:ascii="Times New Roman" w:hAnsi="Times New Roman"/>
        </w:rPr>
        <w:t xml:space="preserve">". </w:t>
      </w:r>
      <w:bookmarkEnd w:id="0"/>
      <w:r w:rsidR="00AB3FC4" w:rsidRPr="00E82A21">
        <w:rPr>
          <w:rFonts w:ascii="Times New Roman" w:hAnsi="Times New Roman"/>
          <w:bCs/>
        </w:rPr>
        <w:t>Projekt finansowany jest przez Narodową Agencję Wymiany Akademickiej w ramach Programu Welcome to Poland (2023).</w:t>
      </w:r>
    </w:p>
    <w:p w:rsidR="00C70DCC" w:rsidRPr="00E82A21" w:rsidRDefault="00C70DCC" w:rsidP="00CA7CD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 Impreza odbędzie się w sobotę </w:t>
      </w:r>
      <w:r w:rsidR="0042392F" w:rsidRPr="00E82A21">
        <w:rPr>
          <w:rFonts w:ascii="Times New Roman" w:eastAsia="Times New Roman" w:hAnsi="Times New Roman"/>
          <w:noProof/>
          <w:lang w:eastAsia="pl-PL"/>
        </w:rPr>
        <w:t>19.10.2024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r. (rozpoczęcie około godz. 9.00, zakończenie maksymalnie do godz. 19.00).</w:t>
      </w:r>
    </w:p>
    <w:p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Uczestnikami będą przedstawiciele całej społeczności akademickiej Uniwersytetu Medycznego w Białymstoku (studenci z Polski, studenci zagraniczni, przedstawiciele kadry </w:t>
      </w:r>
      <w:r w:rsidR="00747BA8" w:rsidRPr="00E82A21">
        <w:rPr>
          <w:rFonts w:ascii="Times New Roman" w:eastAsia="Times New Roman" w:hAnsi="Times New Roman"/>
          <w:noProof/>
          <w:lang w:eastAsia="pl-PL"/>
        </w:rPr>
        <w:t>badawczo</w:t>
      </w:r>
      <w:r w:rsidRPr="00E82A21">
        <w:rPr>
          <w:rFonts w:ascii="Times New Roman" w:eastAsia="Times New Roman" w:hAnsi="Times New Roman"/>
          <w:noProof/>
          <w:lang w:eastAsia="pl-PL"/>
        </w:rPr>
        <w:t>-dydaktycznej, doktoranci, pracownicy administracyjni, absolwenci UMB). Maksymalna liczba uczestników to 90 osób.</w:t>
      </w:r>
    </w:p>
    <w:p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Wydarzenie musi być prowadzone w j. angielskim.</w:t>
      </w:r>
    </w:p>
    <w:p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Sposób realizacji usługi, główne założenia organizacyjne: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Zwiedzanie Białegostoku w j.angielskim (bez wchodzenia do dodatkowo płatnych atrakcji turystycznych, innych niż przedstawione w programie wydarzenia), czas trwania do 2h, w podziale na 2 grupy zwiedzających;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Przejazd uczestników z Białegostoku (spod Pałacu Branickich) do </w:t>
      </w:r>
      <w:r w:rsidR="00AB3FC4" w:rsidRPr="00E82A21">
        <w:rPr>
          <w:rFonts w:ascii="Times New Roman" w:eastAsia="Times New Roman" w:hAnsi="Times New Roman"/>
          <w:noProof/>
          <w:lang w:eastAsia="pl-PL"/>
        </w:rPr>
        <w:t>Kruszynian</w:t>
      </w:r>
      <w:r w:rsidRPr="00E82A21">
        <w:rPr>
          <w:rFonts w:ascii="Times New Roman" w:eastAsia="Times New Roman" w:hAnsi="Times New Roman"/>
          <w:noProof/>
          <w:lang w:eastAsia="pl-PL"/>
        </w:rPr>
        <w:t>, dwoma autokarami;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lastRenderedPageBreak/>
        <w:t xml:space="preserve">Po przyjeździe do </w:t>
      </w:r>
      <w:r w:rsidR="00AB3FC4" w:rsidRPr="00E82A21">
        <w:rPr>
          <w:rFonts w:ascii="Times New Roman" w:eastAsia="Times New Roman" w:hAnsi="Times New Roman"/>
          <w:noProof/>
          <w:lang w:eastAsia="pl-PL"/>
        </w:rPr>
        <w:t>Kruszynian,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nastąpi poczęstunek uczestników wydarzenia przekąską „do ręki” w postaci produktu regionalnego (przykładowo: sękacz, lokalne pieczywo na słodko/słono itp.</w:t>
      </w:r>
      <w:r w:rsidR="00E82A21">
        <w:rPr>
          <w:rFonts w:ascii="Times New Roman" w:eastAsia="Times New Roman" w:hAnsi="Times New Roman"/>
          <w:noProof/>
          <w:lang w:eastAsia="pl-PL"/>
        </w:rPr>
        <w:t xml:space="preserve">) oraz ciepłego napoju (kawa lub </w:t>
      </w:r>
      <w:r w:rsidR="00CA7CDF" w:rsidRPr="00E82A21">
        <w:rPr>
          <w:rFonts w:ascii="Times New Roman" w:eastAsia="Times New Roman" w:hAnsi="Times New Roman"/>
          <w:noProof/>
          <w:lang w:eastAsia="pl-PL"/>
        </w:rPr>
        <w:t>herbata z cytryną),</w:t>
      </w:r>
      <w:r w:rsidR="00FD0822"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90 porcji. Niewykorzystane porcje zostaną zapakowane i przekazane Zamawiającemu;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Zwiedzanie </w:t>
      </w:r>
      <w:r w:rsidR="00AB3FC4" w:rsidRPr="00E82A21">
        <w:rPr>
          <w:rFonts w:ascii="Times New Roman" w:eastAsia="Times New Roman" w:hAnsi="Times New Roman"/>
          <w:noProof/>
          <w:lang w:eastAsia="pl-PL"/>
        </w:rPr>
        <w:t>Kruszynian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(z wejściem i oprowadzaniem po </w:t>
      </w:r>
      <w:r w:rsidR="004B71CC" w:rsidRPr="00E82A21">
        <w:rPr>
          <w:rFonts w:ascii="Times New Roman" w:eastAsia="Times New Roman" w:hAnsi="Times New Roman"/>
          <w:noProof/>
          <w:lang w:eastAsia="pl-PL"/>
        </w:rPr>
        <w:t>meczecie</w:t>
      </w:r>
      <w:r w:rsidR="00CA7CDF" w:rsidRPr="00E82A21">
        <w:rPr>
          <w:rFonts w:ascii="Times New Roman" w:eastAsia="Times New Roman" w:hAnsi="Times New Roman"/>
          <w:noProof/>
          <w:lang w:eastAsia="pl-PL"/>
        </w:rPr>
        <w:t xml:space="preserve"> muzu</w:t>
      </w:r>
      <w:r w:rsidR="00EC1F87" w:rsidRPr="00E82A21">
        <w:rPr>
          <w:rFonts w:ascii="Times New Roman" w:eastAsia="Times New Roman" w:hAnsi="Times New Roman"/>
          <w:noProof/>
          <w:lang w:eastAsia="pl-PL"/>
        </w:rPr>
        <w:t>łmańskim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, </w:t>
      </w:r>
      <w:r w:rsidR="00CA7CDF" w:rsidRPr="00E82A21">
        <w:rPr>
          <w:rFonts w:ascii="Times New Roman" w:eastAsia="Times New Roman" w:hAnsi="Times New Roman"/>
          <w:noProof/>
          <w:lang w:eastAsia="pl-PL"/>
        </w:rPr>
        <w:t>cmentarzu muzu</w:t>
      </w:r>
      <w:r w:rsidR="00EC1F87" w:rsidRPr="00E82A21">
        <w:rPr>
          <w:rFonts w:ascii="Times New Roman" w:eastAsia="Times New Roman" w:hAnsi="Times New Roman"/>
          <w:noProof/>
          <w:lang w:eastAsia="pl-PL"/>
        </w:rPr>
        <w:t>łmańskim</w:t>
      </w:r>
      <w:r w:rsidRPr="00E82A21">
        <w:rPr>
          <w:rFonts w:ascii="Times New Roman" w:eastAsia="Times New Roman" w:hAnsi="Times New Roman"/>
          <w:noProof/>
          <w:lang w:eastAsia="pl-PL"/>
        </w:rPr>
        <w:t>) w j.angielskim, czas trwania do 2h, w podziale na min</w:t>
      </w:r>
      <w:r w:rsidR="006021D4" w:rsidRPr="00E82A21">
        <w:rPr>
          <w:rFonts w:ascii="Times New Roman" w:eastAsia="Times New Roman" w:hAnsi="Times New Roman"/>
          <w:noProof/>
          <w:lang w:eastAsia="pl-PL"/>
        </w:rPr>
        <w:t>imum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2 grupy zwiedzających;</w:t>
      </w:r>
    </w:p>
    <w:p w:rsidR="002644DF" w:rsidRDefault="002644DF" w:rsidP="002644DF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2644DF">
        <w:rPr>
          <w:rFonts w:ascii="Times New Roman" w:eastAsia="Times New Roman" w:hAnsi="Times New Roman"/>
          <w:noProof/>
          <w:lang w:eastAsia="pl-PL"/>
        </w:rPr>
        <w:t>Obiad w Kruszynianach z degustacją kuchni regionalnej i tatarskiej. W uzasadnionych merytorycznie przypadkach, Zamawiający dopuszcza organizację obiadu oraz gier i zabaw integracyjnych w innym miejscu niż Kruszyniany, jednakże będzie to wymagało zgody Zamawiającego. W takim przypadku, Wykonawca zobowiązany jest do zapewnienia transportu autokarem dla wszystkich uczestników do miejsca obiadu i gier integracyjnych oraz powrotu na miejsce początkowej zbiórki (przystanek pod Pałacem Branickich, Jana Kilińskiego 1, Białystok).</w:t>
      </w:r>
    </w:p>
    <w:p w:rsidR="00C70DCC" w:rsidRPr="00E82A21" w:rsidRDefault="00C70DCC" w:rsidP="002644DF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Gry i zabawy integr</w:t>
      </w:r>
      <w:r w:rsidR="006021D4" w:rsidRPr="00E82A21">
        <w:rPr>
          <w:rFonts w:ascii="Times New Roman" w:eastAsia="Times New Roman" w:hAnsi="Times New Roman"/>
          <w:noProof/>
          <w:lang w:eastAsia="pl-PL"/>
        </w:rPr>
        <w:t>ujące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uczestników, prowadzone w j.angielskim, czas trwania około 1,5 h;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Powrót uczestników autokarami z </w:t>
      </w:r>
      <w:r w:rsidR="00EC1F87" w:rsidRPr="00E82A21">
        <w:rPr>
          <w:rFonts w:ascii="Times New Roman" w:eastAsia="Times New Roman" w:hAnsi="Times New Roman"/>
          <w:noProof/>
          <w:lang w:eastAsia="pl-PL"/>
        </w:rPr>
        <w:t>Kruszynian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do Białegostoku najpóźniej do godz. 19.00 (przystanek pod Pałacem Branickich).</w:t>
      </w:r>
    </w:p>
    <w:p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Zakres zadań Wykonawcy: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Zapewnienie obsługi minimum dwóch przewodników turystycznych biegle posługujących się j.angielskim podczas całego wydarzenia (od godz. 9.00 do zakończenia imprezy około godz. 19.00). Jeden przewodnik powinien przypadać na jeden autokar/jedną grupę zwiedzających;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Zapewnienie dwóch autokarów mogących przewieźć łącznie 90 osób na trasie Białystok-</w:t>
      </w:r>
      <w:r w:rsidR="00F77FFC" w:rsidRPr="00E82A21">
        <w:rPr>
          <w:rFonts w:ascii="Times New Roman" w:eastAsia="Times New Roman" w:hAnsi="Times New Roman"/>
          <w:noProof/>
          <w:lang w:eastAsia="pl-PL"/>
        </w:rPr>
        <w:t>Kruszyniany</w:t>
      </w:r>
      <w:r w:rsidRPr="00E82A21">
        <w:rPr>
          <w:rFonts w:ascii="Times New Roman" w:eastAsia="Times New Roman" w:hAnsi="Times New Roman"/>
          <w:noProof/>
          <w:lang w:eastAsia="pl-PL"/>
        </w:rPr>
        <w:t>-Białystok;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Po przyjeździe do </w:t>
      </w:r>
      <w:r w:rsidR="00F77FFC" w:rsidRPr="00E82A21">
        <w:rPr>
          <w:rFonts w:ascii="Times New Roman" w:eastAsia="Times New Roman" w:hAnsi="Times New Roman"/>
          <w:noProof/>
          <w:lang w:eastAsia="pl-PL"/>
        </w:rPr>
        <w:t>Kruszynian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zapewnienie uczestnikom poczęstunku/przekąski w postaci produktu regionalnego „do ręki”</w:t>
      </w:r>
      <w:r w:rsidR="00CA7CDF" w:rsidRPr="00E82A21">
        <w:rPr>
          <w:rFonts w:ascii="Times New Roman" w:eastAsia="Times New Roman" w:hAnsi="Times New Roman"/>
          <w:noProof/>
          <w:lang w:eastAsia="pl-PL"/>
        </w:rPr>
        <w:t xml:space="preserve"> oraz ciepłego napoju (kawa lub herbata z </w:t>
      </w:r>
      <w:r w:rsidR="00E82A21">
        <w:rPr>
          <w:rFonts w:ascii="Times New Roman" w:eastAsia="Times New Roman" w:hAnsi="Times New Roman"/>
          <w:noProof/>
          <w:lang w:eastAsia="pl-PL"/>
        </w:rPr>
        <w:t>cytryną</w:t>
      </w:r>
      <w:r w:rsidR="00CA7CDF" w:rsidRPr="00E82A21">
        <w:rPr>
          <w:rFonts w:ascii="Times New Roman" w:eastAsia="Times New Roman" w:hAnsi="Times New Roman"/>
          <w:noProof/>
          <w:lang w:eastAsia="pl-PL"/>
        </w:rPr>
        <w:t>)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(min. 90 porcji);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Zakup biletów wstępu</w:t>
      </w:r>
      <w:r w:rsidR="006021D4" w:rsidRPr="00E82A21">
        <w:rPr>
          <w:rFonts w:ascii="Times New Roman" w:eastAsia="Times New Roman" w:hAnsi="Times New Roman"/>
          <w:noProof/>
          <w:lang w:eastAsia="pl-PL"/>
        </w:rPr>
        <w:t xml:space="preserve"> (jeżeli są konieczne)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do </w:t>
      </w:r>
      <w:r w:rsidR="00EC1F87" w:rsidRPr="00E82A21">
        <w:rPr>
          <w:rFonts w:ascii="Times New Roman" w:eastAsia="Times New Roman" w:hAnsi="Times New Roman"/>
          <w:noProof/>
          <w:lang w:eastAsia="pl-PL"/>
        </w:rPr>
        <w:t>meczetu i cmentarza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dla uczestników imprezy wraz z oprowadzaniem;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Zorganizowanie obiadu z degustacją potraw regionalnych</w:t>
      </w:r>
      <w:r w:rsidR="00CA7CDF" w:rsidRPr="00E82A21">
        <w:rPr>
          <w:rFonts w:ascii="Times New Roman" w:eastAsia="Times New Roman" w:hAnsi="Times New Roman"/>
          <w:noProof/>
          <w:lang w:eastAsia="pl-PL"/>
        </w:rPr>
        <w:t xml:space="preserve"> i tatarskich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dla uczestników imprezy. Miejsce uroczystego obiadu oraz menu musi zostać zaakceptowane przez Zamawiającego;</w:t>
      </w:r>
    </w:p>
    <w:p w:rsidR="00E82A21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Zorganizowanie gier i zabaw przygotowanych w celu integracji uczestników o długości trwania do 1h 30 min. Wykonawca powinien posiadać dwa warianty zabaw (jeden do wyboru): na świeżym powietrzu lub w pomieszczeniu w wypadku złej pogody. Zabawy integracyjne mogą odbywać się w tym samym miejs</w:t>
      </w:r>
      <w:r w:rsidR="00E82A21">
        <w:rPr>
          <w:rFonts w:ascii="Times New Roman" w:eastAsia="Times New Roman" w:hAnsi="Times New Roman"/>
          <w:noProof/>
          <w:lang w:eastAsia="pl-PL"/>
        </w:rPr>
        <w:t>cu, w którym będzie odbywał się obiad;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Wykonawca powinien również zapewnić osobę/osoby do poprowadzenia zabaw posługujące się biegle j.angielskim (mogą być to te same osoby, które pełnią rolę przewodników turystycznych, o ile posiadają odpowiednie kompetencje). Kompetencje językowe będą poddane weryfikacji przez Zamawiającego z wyprzedzeniem. W przypadku stwierdzenia braku odpowiednich kompetencji językowych Zamawiający poprosi o wskazanie osoby z odpowiednimi kompetenecjami. Scenariusz gier i zabaw będzie przedstawiony przed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wydarzeniem do akceptacji i weryfikacji przez Zamawiającego. </w:t>
      </w:r>
    </w:p>
    <w:p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Specyfikacja uroczystego obiadu: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Obiad powinien składać się z menu bufetowego dla 90 osób, które powinno zawierać:</w:t>
      </w:r>
    </w:p>
    <w:p w:rsidR="00C70DCC" w:rsidRPr="00E82A21" w:rsidRDefault="00C70DC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minimum </w:t>
      </w:r>
      <w:r w:rsidR="00CA7CD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4 rodzaje przekąsek zimnych kuchni regionalnej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,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w tym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2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rodzaje przekąsek wegetariańskic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h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, po min. 100 porcji każda,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min.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150 g/porcja;</w:t>
      </w:r>
    </w:p>
    <w:p w:rsidR="00C70DCC" w:rsidRPr="00E82A21" w:rsidRDefault="00C70DC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minimum 2 rodzaje sałat i sałatek po min. 100 porcji każda,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min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. 100-150 g/porcja;</w:t>
      </w:r>
    </w:p>
    <w:p w:rsidR="00C70DCC" w:rsidRPr="00E82A21" w:rsidRDefault="00C70DC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minimum 4 rodzaje dań ciepłych (w tym </w:t>
      </w:r>
      <w:r w:rsidR="00F77FF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min.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dwa dania z kuchni </w:t>
      </w:r>
      <w:r w:rsidR="00CA7CD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tatarskiej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FB6634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tj.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CA7CD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np.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p</w:t>
      </w:r>
      <w:r w:rsidR="0042392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ier</w:t>
      </w:r>
      <w:r w:rsidR="008307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kaczewnik</w:t>
      </w:r>
      <w:r w:rsidR="00F77FF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A330F2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i/lub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k</w:t>
      </w:r>
      <w:r w:rsidR="008307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ołduny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oraz jedno danie wegetariańskie), po min. 100 porcji każde danie, ok. 160-200 g/porcja;</w:t>
      </w:r>
    </w:p>
    <w:p w:rsidR="00C70DCC" w:rsidRPr="00E82A21" w:rsidRDefault="00C70DC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minimum 3 rodzaje deserów</w:t>
      </w:r>
      <w:r w:rsidR="00F77FF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po min. 100 porcji każdy, ok. 1</w:t>
      </w:r>
      <w:r w:rsidR="0073713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0-200 g/porcja.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lastRenderedPageBreak/>
        <w:t>Dla wszystkich osób powin</w:t>
      </w:r>
      <w:r w:rsidR="00C40A4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n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y być zapewnione</w:t>
      </w:r>
      <w:r w:rsidR="00C40A4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w nielimitowanej ilości: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napoje gorące (kawa, herbata) oraz zimne (woda gazowana i niegazowana oraz min 2 rodzaje soków owocowych). Dodatkowo Wykonaca usługi zapewni wodę gazowaną i niegazowaną w butelkach o pojemności 0,5l dla uczestników gier i zabaw integracyjnych w ilości </w:t>
      </w:r>
      <w:r w:rsidR="000052E7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75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szt. wody niegaz</w:t>
      </w:r>
      <w:r w:rsidR="002B30E2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owanej i </w:t>
      </w:r>
      <w:r w:rsidR="000052E7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25</w:t>
      </w:r>
      <w:r w:rsidR="002B30E2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szt. wody gazowanej,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Wykonawca przedstawi menu do akceptacji </w:t>
      </w:r>
      <w:r w:rsidRPr="00E82A21">
        <w:rPr>
          <w:rFonts w:ascii="Times New Roman" w:eastAsia="Times New Roman" w:hAnsi="Times New Roman"/>
          <w:noProof/>
          <w:lang w:eastAsia="pl-PL"/>
        </w:rPr>
        <w:t>Zamawiającego,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zapewni niezbędną obsługę kelnerską wydarzenia oraz odpowiednią liczbę naczyń i sztućców,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 uroczystym obiedzie niespożyte potrawy, przekąski, desery i napoje powinny być zapakowane w jednorazowe opakowania umożliwiające ich zabranie przez Zamawiającego.</w:t>
      </w:r>
    </w:p>
    <w:p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Dodatkowe usługi: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przygotuje (projekt i druk) 10 plakatów (format A2, wydruk kolorowy, jednostronny) w języku angielskim informujący o wydarzeniu. Projekt graficzny powinien być przedstawiony do akceptacji Zamawiającego i zawierać informację o finansowaniu (informacje dostarcza Zamawiający). Dodatkowo Wykonawca udostępni Zamawiącemu wersję elektroniczną plakatu celem umieszczenia jej na portalach społecznościowych zarządzanych przez UMB, w terminie uzgodnionym z Zamawiającym;</w:t>
      </w:r>
    </w:p>
    <w:p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przygotowanie 90 szt. plakietek dla uczestników przymocowywanych do odzieży, na których będzie możliwe wpisanie imienia. </w:t>
      </w:r>
    </w:p>
    <w:p w:rsidR="00C70DCC" w:rsidRPr="00E82A21" w:rsidRDefault="00C70DCC" w:rsidP="00C70DCC">
      <w:pPr>
        <w:suppressAutoHyphens/>
        <w:spacing w:after="0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</w:p>
    <w:p w:rsidR="00C70DCC" w:rsidRPr="00E82A21" w:rsidRDefault="00C70DCC" w:rsidP="00C70DCC">
      <w:pPr>
        <w:suppressAutoHyphens/>
        <w:spacing w:after="0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Uwagi oraz dodatkowe wymagania:</w:t>
      </w:r>
    </w:p>
    <w:p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Zamawiający zastrzega sobie możliwość zmniejszenia liczby osób z 90 o nie więcej niż 20% bez podania przyczyny. Plan wycieczki może zawierać inne dodatkowe miejsca do zwiedzania, pod warunkiem nie ponoszenia dodatkowych kosztów, w tym kosztów związanych z zakupem biletów;</w:t>
      </w:r>
    </w:p>
    <w:p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Zmniejszenie liczby uczestników o nie więcej niż 20%, nie będzie powodowało zmiany ceny jednostkowej wycieczki;</w:t>
      </w:r>
    </w:p>
    <w:p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Zamawiający poda dokładną liczbę uczestników wydarzenia (nie więcej niż 90 osób)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do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14</w:t>
      </w:r>
      <w:r w:rsidR="001E2259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.10.2024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r.;</w:t>
      </w:r>
    </w:p>
    <w:p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 celu rozpoczęcia przygotowań do wydarzenia, pierwszy kontakt Wykonawcy zamówienia z Zamawiającym powinien nastąpić najpóźniej w terminie 5 dni od zawarcia umowy.</w:t>
      </w:r>
    </w:p>
    <w:p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w cenie oferty zapewni:</w:t>
      </w:r>
    </w:p>
    <w:p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u w:val="single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realizację programu zawartego w ofercie – Wykonawca na etapie składania ofert załączy do formularza ofertowego </w:t>
      </w:r>
      <w:r w:rsidRPr="00E82A21">
        <w:rPr>
          <w:rFonts w:ascii="Times New Roman" w:eastAsia="Times New Roman" w:hAnsi="Times New Roman"/>
          <w:lang w:eastAsia="ar-SA"/>
        </w:rPr>
        <w:t xml:space="preserve">proponowany program wycieczki odpowiadający przedmiotowi zamówienia z podaniem nazwy proponowanego lokalu lub obiektu gdzie odbędzie się uroczysty obiad oraz gry i zabawy integracyjne oraz obiektów/miejsc do zwiedzania w </w:t>
      </w:r>
      <w:r w:rsidR="00F77FFC" w:rsidRPr="00E82A21">
        <w:rPr>
          <w:rFonts w:ascii="Times New Roman" w:eastAsia="Times New Roman" w:hAnsi="Times New Roman"/>
          <w:lang w:eastAsia="ar-SA"/>
        </w:rPr>
        <w:t>Kruszynianach</w:t>
      </w:r>
      <w:r w:rsidRPr="00E82A21">
        <w:rPr>
          <w:rFonts w:ascii="Times New Roman" w:eastAsia="Times New Roman" w:hAnsi="Times New Roman"/>
          <w:lang w:eastAsia="ar-SA"/>
        </w:rPr>
        <w:t xml:space="preserve"> i Białymstoku. W przypadku wyboru oferty program będzie obowiązujący. </w:t>
      </w:r>
    </w:p>
    <w:p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realizację programu zgodnie z obowiązującymi przepisami prawa w tym przepisami BHP i PPOŻ;</w:t>
      </w:r>
    </w:p>
    <w:p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autokary podczas całej trasy wycieczki muszą być w pełni sprawne technicznie, nie mogą być starsze niż 15 lat oraz nie mogą być pojazdami piętrowymi;</w:t>
      </w:r>
    </w:p>
    <w:p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 awarii autokaru, wykonawca usługi zapewni autokar o takim samym standardzie, w tym:</w:t>
      </w:r>
    </w:p>
    <w:p w:rsidR="00C70DCC" w:rsidRPr="00E82A21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przypadku, gdy podstawiony przez Wykonawcę autokar nie zostanie dopuszczony do jazdy z uwagi na zły stan techniczny (kontrola stanu technicznego przed wyjazdem, wykonana przez odpowiednie służby mundurowe, powinna być zorganizowana przez Wykonawcę) Wykonawca w czasie 1 godziny od planowanego wyjazdu podstawi inny sprawny technicznie autokar;</w:t>
      </w:r>
    </w:p>
    <w:p w:rsidR="00C70DCC" w:rsidRPr="00E82A21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 awarii autokaru na trasie, Wykonawca zobowiązuje się do usunięcia usterki lub do podstawienia autokaru sprawnego technicznie w ciągu 1 godziny od ujawnienia awarii;</w:t>
      </w:r>
    </w:p>
    <w:p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ubezpieczenie NNW (od nieszczęśliwych wypadków) na terenie Polski obejmujące wszystkich uczestników;</w:t>
      </w:r>
    </w:p>
    <w:p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lastRenderedPageBreak/>
        <w:t>opłaty drogowe, parkingowe, wjazdowe oraz inne niezbędne dla prawidłowej realizacji wycieczki.</w:t>
      </w:r>
    </w:p>
    <w:p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Wykonawca usługi przygotuje regulamin uczestnictwa w wydarzeniu, który zostanie przygotowany i przedstawiony do akceptacji Zamawiającego min 4 tygodnie przed planowaną datą wydarzenia.</w:t>
      </w:r>
    </w:p>
    <w:p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W przypadku pogorszenia sytuacji epidemiologicznej w kraju Zamawiający zastrzega sobie prawo zmiany terminu wydarzenia bez ponoszenia dodatkowych opłat, pod warunkiem poinformowania o zmianie terminu z co najmniej tygodniowym wyprzedzeniem przez planowanym terminem wydarzenia (dotyczy zarówno pierwszego zaplanowanego terminu, jak i kolejnych terminów ustalanych w wyniku przesunięć terminów z powodu sytuacji epidemiologicznej). </w:t>
      </w:r>
    </w:p>
    <w:p w:rsidR="00C70DCC" w:rsidRPr="00E82A21" w:rsidRDefault="00C70DCC" w:rsidP="00C70DCC">
      <w:pPr>
        <w:shd w:val="clear" w:color="auto" w:fill="FFFFFF"/>
        <w:suppressAutoHyphens/>
        <w:spacing w:before="144" w:after="288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II. Kryteria wyboru ofert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Ocena ofert zostanie przeprowadzona w oparciu o następujące kryteria: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C70DCC" w:rsidRPr="00E82A21" w:rsidTr="005F7980">
        <w:tc>
          <w:tcPr>
            <w:tcW w:w="534" w:type="dxa"/>
            <w:shd w:val="clear" w:color="auto" w:fill="auto"/>
          </w:tcPr>
          <w:p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072" w:type="dxa"/>
            <w:shd w:val="clear" w:color="auto" w:fill="auto"/>
          </w:tcPr>
          <w:p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Kryterium</w:t>
            </w:r>
          </w:p>
        </w:tc>
        <w:tc>
          <w:tcPr>
            <w:tcW w:w="2303" w:type="dxa"/>
            <w:shd w:val="clear" w:color="auto" w:fill="auto"/>
          </w:tcPr>
          <w:p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Waga</w:t>
            </w:r>
          </w:p>
        </w:tc>
        <w:tc>
          <w:tcPr>
            <w:tcW w:w="2303" w:type="dxa"/>
            <w:shd w:val="clear" w:color="auto" w:fill="auto"/>
          </w:tcPr>
          <w:p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Maksymalna liczba punktów</w:t>
            </w:r>
          </w:p>
        </w:tc>
      </w:tr>
      <w:tr w:rsidR="00C70DCC" w:rsidRPr="00E82A21" w:rsidTr="005F7980">
        <w:tc>
          <w:tcPr>
            <w:tcW w:w="534" w:type="dxa"/>
            <w:shd w:val="clear" w:color="auto" w:fill="auto"/>
          </w:tcPr>
          <w:p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Cena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70DCC" w:rsidRPr="00E82A21" w:rsidRDefault="00C70DCC" w:rsidP="005F7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60%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70DCC" w:rsidRPr="00E82A21" w:rsidRDefault="00C70DCC" w:rsidP="005F7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60</w:t>
            </w:r>
          </w:p>
        </w:tc>
      </w:tr>
      <w:tr w:rsidR="00C70DCC" w:rsidRPr="00E82A21" w:rsidTr="005F7980">
        <w:tc>
          <w:tcPr>
            <w:tcW w:w="534" w:type="dxa"/>
            <w:shd w:val="clear" w:color="auto" w:fill="auto"/>
          </w:tcPr>
          <w:p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Koncepcja gier integracyjnych</w:t>
            </w:r>
            <w:r w:rsidR="00747BA8"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:</w:t>
            </w:r>
          </w:p>
          <w:p w:rsidR="00C70DCC" w:rsidRPr="00E82A21" w:rsidRDefault="00C70DCC" w:rsidP="005F798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Zakres</w:t>
            </w:r>
          </w:p>
          <w:p w:rsidR="00C70DCC" w:rsidRPr="00E82A21" w:rsidRDefault="00C70DCC" w:rsidP="005F798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Innowacyjność podejścia</w:t>
            </w:r>
          </w:p>
          <w:p w:rsidR="00C70DCC" w:rsidRPr="00E82A21" w:rsidRDefault="00C70DCC" w:rsidP="005F798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Aktywizacja uczestników</w:t>
            </w:r>
          </w:p>
          <w:p w:rsidR="00C70DCC" w:rsidRPr="00E82A21" w:rsidRDefault="00C70DCC" w:rsidP="005F798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Różnorodność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70DCC" w:rsidRPr="00E82A21" w:rsidRDefault="00C70DCC" w:rsidP="005F7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40%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70DCC" w:rsidRPr="00E82A21" w:rsidRDefault="00C70DCC" w:rsidP="005F7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40</w:t>
            </w:r>
          </w:p>
        </w:tc>
      </w:tr>
    </w:tbl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highlight w:val="yellow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Zasady oceny „cena oferty”</w:t>
      </w:r>
    </w:p>
    <w:p w:rsidR="00C70DCC" w:rsidRPr="00E82A21" w:rsidRDefault="00C70DCC" w:rsidP="00C70DCC">
      <w:pPr>
        <w:numPr>
          <w:ilvl w:val="1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formularzu ofertowym Wykonawca poda cenę za realizację zamówienia w danej części. Ocena w tym kryterium zostanie dokonana przy zastosowaniu wzoru: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Liczba punktów = najniższa oferowana cena/cena oferty ocenianej x 60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Oferta najkorzystniejsza otrzyma w tym kryterium 60 punktów.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Zasady oceny „koncepcja gier integracyjnych”</w:t>
      </w:r>
    </w:p>
    <w:p w:rsidR="00C70DCC" w:rsidRPr="00E82A21" w:rsidRDefault="00C70DCC" w:rsidP="00C70DCC">
      <w:pPr>
        <w:numPr>
          <w:ilvl w:val="1"/>
          <w:numId w:val="2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Koncepcję gier integracyjnych </w:t>
      </w:r>
      <w:r w:rsidR="00E82A21">
        <w:rPr>
          <w:rFonts w:ascii="Times New Roman" w:eastAsia="Times New Roman" w:hAnsi="Times New Roman"/>
          <w:color w:val="000000"/>
          <w:lang w:eastAsia="pl-PL"/>
        </w:rPr>
        <w:t xml:space="preserve">w dwóch wariantach </w:t>
      </w:r>
      <w:r w:rsidRPr="00E82A21">
        <w:rPr>
          <w:rFonts w:ascii="Times New Roman" w:eastAsia="Times New Roman" w:hAnsi="Times New Roman"/>
          <w:color w:val="000000"/>
          <w:lang w:eastAsia="pl-PL"/>
        </w:rPr>
        <w:t>należy przedstawić jako dodatek do załącznika 1 tj. formularza ofertowego. Przedstawienie koncepcji nie jest obligatoryjne, ale brak jej przedstawienia będzie skutkował uzyskaniem 0 pkt w ramach tego kryterium;</w:t>
      </w:r>
    </w:p>
    <w:p w:rsidR="00C70DCC" w:rsidRPr="00E82A21" w:rsidRDefault="00C70DCC" w:rsidP="00C70DCC">
      <w:pPr>
        <w:numPr>
          <w:ilvl w:val="1"/>
          <w:numId w:val="2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Ocena zostanie przeprowadzona przez 3-osobową komisję, każdy z członków komisji przyzna od 0 do 40 pkt. Koncepcja będzie oceniana w kategoriach: zakres, innowacyjność podejścia, aktywizacja uczestników, różnorodność (można uzyskać max. 10 pkt w ramach każdej kategorii). Ostateczna ocena w kryterium „koncepcja gier” będzie średnią ocen wszystkich 3 członków komisji – maksymalnie 40 pkt. 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III. Termin wykonania zamówienia: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42392F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19.10.2024</w:t>
      </w:r>
      <w:r w:rsidR="00C70DCC" w:rsidRPr="00E82A21">
        <w:rPr>
          <w:rFonts w:ascii="Times New Roman" w:eastAsia="Times New Roman" w:hAnsi="Times New Roman"/>
          <w:noProof/>
          <w:lang w:eastAsia="pl-PL"/>
        </w:rPr>
        <w:t xml:space="preserve"> r. od godz. 9.00 do około godz. 19.00.</w:t>
      </w:r>
    </w:p>
    <w:p w:rsidR="00F82EA1" w:rsidRPr="00E82A21" w:rsidRDefault="00F82EA1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IV. Wymagania stawiane Wykonawcy: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091477" w:rsidRPr="00E82A21" w:rsidRDefault="00C70DCC" w:rsidP="000914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lastRenderedPageBreak/>
        <w:t>W postępowaniu mogą wziąć udział Wykonawcy spełniający warunki dotyczące:</w:t>
      </w:r>
    </w:p>
    <w:p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posiadani</w:t>
      </w:r>
      <w:r w:rsidR="00091477"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a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uprawnień do prowadzenia działalności gospodarczej w zakresie zgodnym z przedmiotem zamówienia – Zamawiający wymaga złożenia dokumentu potwierdzającego uprawnienia do prowadzenia działalności gospodarczej (odpis z KRS lub CEIDG);</w:t>
      </w:r>
    </w:p>
    <w:p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posiadani</w:t>
      </w:r>
      <w:r w:rsidR="00091477" w:rsidRPr="00E82A21">
        <w:rPr>
          <w:rFonts w:ascii="Times New Roman" w:eastAsia="Times New Roman" w:hAnsi="Times New Roman"/>
          <w:noProof/>
          <w:lang w:eastAsia="pl-PL"/>
        </w:rPr>
        <w:t>a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uprawnień do wykonywania określonej działalności tj. posiadanie wpisu do Rejestru Organizatorów Turystyki i Pośredników Turystycznych zgodnie z ustawą 29.08.1997r. o usługach turystycznych (tj. DZ.U z 2016r. poz.187.);</w:t>
      </w:r>
    </w:p>
    <w:p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sytuacji ekonomiczno-finansowej tj. przedstawi opłaconą polisę a w przypadku jej braku inny dokument potwierdzający że wykonawca jest ubezpieczony od odpowiedzialności cywilnej w zakresie prowadzonej działalności związanej z przedmiotem zamówienia (OC działalności organizatora i pośrednika turystyki) na kwotę nie mniejszą niż 100 000 00 zł - ubezpieczenie to nie jest tożsame z gwarancją o której mowa w art.</w:t>
      </w:r>
      <w:r w:rsidR="00A94150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5 ustawy o usługach turystycznych;</w:t>
      </w:r>
    </w:p>
    <w:p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posiadania wiedzy i doświadczenia tj. wykazanie zrealizowania w okresie ostatnich 3 lat przed upływem terminu składania ofert, a jeżeli okres prowadzenia działalności jest krótszy – w tym okresie, co najmniej 5 usług w zakresie organizacji imprez o charakterze turystycznym, każda z udziałem co najmniej 20 osób. Każda ze zrealizowanych usług w ramach doświadczenia zawodowego musi być wykonana w sposób należyty i terminowy. Wnioskodawca powinien przedstawić odpowiednie referencje lub inne dokumenty potwierdzające posiadanie wymaganego doświadczenia;</w:t>
      </w:r>
    </w:p>
    <w:p w:rsidR="00091477" w:rsidRPr="00E82A21" w:rsidRDefault="00835FD1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hAnsi="Times New Roman"/>
        </w:rPr>
        <w:t>dysponowania min. 1 osobą, którą skieruje do realizacji przedmiotu zamówienia w części dot.</w:t>
      </w:r>
      <w:r w:rsidR="00091477" w:rsidRPr="00E82A21">
        <w:rPr>
          <w:rFonts w:ascii="Times New Roman" w:hAnsi="Times New Roman"/>
        </w:rPr>
        <w:t xml:space="preserve"> </w:t>
      </w:r>
      <w:r w:rsidRPr="00E82A21">
        <w:rPr>
          <w:rFonts w:ascii="Times New Roman" w:hAnsi="Times New Roman"/>
        </w:rPr>
        <w:t xml:space="preserve">osoby odpowiedzialnej </w:t>
      </w:r>
      <w:r w:rsidR="00A94150">
        <w:rPr>
          <w:rFonts w:ascii="Times New Roman" w:hAnsi="Times New Roman"/>
        </w:rPr>
        <w:t xml:space="preserve">za </w:t>
      </w:r>
      <w:r w:rsidRPr="00E82A21">
        <w:rPr>
          <w:rFonts w:ascii="Times New Roman" w:hAnsi="Times New Roman"/>
        </w:rPr>
        <w:t xml:space="preserve">usługę przewodnika turystycznego. Osoba powinna spełniać następujące wymagania Zamawiającego: jest praktykiem, tj. czynnym pracownikiem, który wykonuje prace na podstawie umów cywilnoprawnych, umowy o pracę lub prowadzi działalność gospodarczą, i ma co najmniej 3-letni okres doświadczenia zawodowego, w tym co najmniej trzyletni okres doświadczenia zawodowego w oprowadzaniu grup w języku angielskim; </w:t>
      </w:r>
    </w:p>
    <w:p w:rsidR="00835FD1" w:rsidRPr="00E82A21" w:rsidRDefault="00835FD1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hAnsi="Times New Roman"/>
        </w:rPr>
        <w:t>dysponowania min. 1 osobą, którą skieruje do realizacji przedmiotu zamówienia w części dot. osoby odpowiedzialnej za zorganizowanie gier i zabaw integrujących uczestników. Osoba powinna spełniać następujące wymagania Zamawiającego: jest praktykiem, tj. czynnym pracownikiem, który wykonuje prace na podstawie umów cywilnoprawnych, umowy o pracę lub prowadzi działalność gospodarczą, i ma co najmniej 3-letni okres doświadczenia zawodowego w obszarze animacji gier i zabaw integrujących uczestników.</w:t>
      </w:r>
    </w:p>
    <w:p w:rsidR="00C70DCC" w:rsidRPr="00E82A21" w:rsidRDefault="00C70DCC" w:rsidP="0009147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Wymagania dotyczące przewozu osób:</w:t>
      </w:r>
    </w:p>
    <w:p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przewozy osób odbywać się mogą wyłącznie środkami transportu spełniającymi wymagania techniczne określone w przepisach ustawy - Prawo o ruchu drogowym z dnia 20 czerwca 1997 r. (t.j. Dz. U. z 2018, poz. 1990) i innych przepisach związanych z przewozem osób, w tym ustawy z dnia 6 września 2001 r. o transporcie drogowym (t.j. Dz. U. z 2019, poz. 2140 z późn. zm.);</w:t>
      </w:r>
    </w:p>
    <w:p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ubezpiecza autobusy i pasażerów od wszelkich szkód mogących powstać podczas przewozu i pozostających w związku z przewozem;</w:t>
      </w:r>
    </w:p>
    <w:p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zapewnia pasażerom bezpieczny przewóz tzn. odpowiednie warunki bezpieczeństwa i higieny.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V.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>Składanie ofert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1. Szczegółowe informacje można uzyskać pod adresem: </w:t>
      </w:r>
    </w:p>
    <w:p w:rsidR="00C70DCC" w:rsidRPr="00E82A21" w:rsidRDefault="00C70DCC" w:rsidP="00C70DCC">
      <w:pPr>
        <w:shd w:val="clear" w:color="auto" w:fill="FFFFFF"/>
        <w:suppressAutoHyphens/>
        <w:spacing w:before="144" w:after="288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Uniwersytet Medyczny w Białymstoku, Dział Współpracy Międzynarodowej, ul. Jana Kilińskiego 1, 15-089 Białystok, pokój 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A330F2" w:rsidRPr="00E82A21">
        <w:rPr>
          <w:rFonts w:ascii="Times New Roman" w:eastAsia="Times New Roman" w:hAnsi="Times New Roman"/>
          <w:color w:val="000000" w:themeColor="text1"/>
          <w:lang w:eastAsia="pl-PL"/>
        </w:rPr>
        <w:t>207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(Prawe Skrzydło Pałacu Branickich). 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82A21">
        <w:rPr>
          <w:rFonts w:ascii="Times New Roman" w:eastAsia="Times New Roman" w:hAnsi="Times New Roman"/>
          <w:b/>
          <w:bCs/>
          <w:lang w:eastAsia="pl-PL"/>
        </w:rPr>
        <w:t>2. Osoba do kontaktu z Wykonawcami: 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330F2" w:rsidRPr="00E82A21" w:rsidRDefault="00C70DCC" w:rsidP="00A330F2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mgr </w:t>
      </w:r>
      <w:r w:rsidR="00A330F2" w:rsidRPr="00E82A21">
        <w:rPr>
          <w:rFonts w:ascii="Times New Roman" w:eastAsia="Times New Roman" w:hAnsi="Times New Roman"/>
          <w:lang w:eastAsia="pl-PL"/>
        </w:rPr>
        <w:t>Urszula Roszkowska</w:t>
      </w:r>
      <w:r w:rsidRPr="00E82A21">
        <w:rPr>
          <w:rFonts w:ascii="Times New Roman" w:eastAsia="Times New Roman" w:hAnsi="Times New Roman"/>
          <w:lang w:eastAsia="pl-PL"/>
        </w:rPr>
        <w:t xml:space="preserve">, tel. 85 686 51 </w:t>
      </w:r>
      <w:r w:rsidR="00A330F2" w:rsidRPr="00E82A21">
        <w:rPr>
          <w:rFonts w:ascii="Times New Roman" w:eastAsia="Times New Roman" w:hAnsi="Times New Roman"/>
          <w:lang w:eastAsia="pl-PL"/>
        </w:rPr>
        <w:t>76</w:t>
      </w:r>
      <w:r w:rsidRPr="00E82A21">
        <w:rPr>
          <w:rFonts w:ascii="Times New Roman" w:eastAsia="Times New Roman" w:hAnsi="Times New Roman"/>
          <w:lang w:eastAsia="pl-PL"/>
        </w:rPr>
        <w:t xml:space="preserve">, e-mail: </w:t>
      </w:r>
      <w:r w:rsidR="00A330F2" w:rsidRPr="00E82A21">
        <w:rPr>
          <w:rFonts w:ascii="Times New Roman" w:eastAsia="Times New Roman" w:hAnsi="Times New Roman"/>
          <w:lang w:eastAsia="pl-PL"/>
        </w:rPr>
        <w:t>urszula.roszkowska@umb.edu.pl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3. Do wypełnionego formularza ofertowego (załącznik do zapytania) należy dołączyć: 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-Referencje lub inne dokumenty potwierdzające zrealizowanie usług wykonanych w ramach doświadczenia zawodowego w sposób należyty i terminowy;</w:t>
      </w:r>
    </w:p>
    <w:p w:rsidR="00F82EA1" w:rsidRPr="00E82A2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F82EA1" w:rsidRPr="00E82A2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-Oświadczenie lub inny dokument potwierdzający możliwość dysponowania osobami odpowiedzialnymi za usługę przewodników turystycznych oraz osoby odpowiedzialnej za zabawy integrujące uczestników;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-Aktualny odpis z właściwego rejestru lub centralnej ewidencji i informacji o działalności gospodarczej jeżeli odrębne przepisy wymagają wpisu do rejestru lub ewidencji wystawiony nie wcześniej niż 6 miesięcy przed upływem terminu składania ofert (oryginał lub kopia potwierdzona za zgodność z oryginałem);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-Aktualne zaświadczenie o wpisie do Rejestru Organizatorów Turystyki i Pośredników Turystycznych lub odpis z Centralnej Ewidencji Organizatorów Turystyki i Pośredników Turystycznych zgodnie z wymogami zawartymi w ustawie z dnia 29.08.1997r. o usługach turystycznych;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-Kopia (poświadczona za zgodność z oryginałem) opłaconej polisy lub innego dokumentu potwierdzającego że Wykonawca jest ubezpieczony od odpowiedzialności cywilnej w zakresie prowadzonej działalności związanej z przedmiotem zamówienia (OC działalności Organizatora i pośrednika turystyki) - ubezpieczenie to nie jest tożsame z gwarancją o której mowa w art.5 ustawy o usługach turystycznych;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-Program wycieczki odpowiadający przedmiotowi zamówienia wraz z podaniem propozycji miejsca w którym odbędzie się uroczysty obiad;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-Koncepcj</w:t>
      </w:r>
      <w:r w:rsidR="00F82EA1" w:rsidRPr="00E82A21">
        <w:rPr>
          <w:rFonts w:ascii="Times New Roman" w:eastAsia="Times New Roman" w:hAnsi="Times New Roman"/>
          <w:color w:val="000000"/>
          <w:lang w:eastAsia="pl-PL"/>
        </w:rPr>
        <w:t>ę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gier (przedstawienie koncepcji nie jest obligatoryjne, ale brak jej przedstawienia będzie skutkował uzyskaniem 0 pkt w ramach tego kryterium).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4. Termin składania ofert (data i godzina): 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2644DF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lang w:eastAsia="pl-PL"/>
        </w:rPr>
        <w:t>22</w:t>
      </w:r>
      <w:r w:rsidR="00C70DCC" w:rsidRPr="00E82A21">
        <w:rPr>
          <w:rFonts w:ascii="Times New Roman" w:eastAsia="Times New Roman" w:hAnsi="Times New Roman"/>
          <w:b/>
          <w:color w:val="000000" w:themeColor="text1"/>
          <w:lang w:eastAsia="pl-PL"/>
        </w:rPr>
        <w:t>.08.</w:t>
      </w:r>
      <w:r w:rsidR="0042392F" w:rsidRPr="00E82A21">
        <w:rPr>
          <w:rFonts w:ascii="Times New Roman" w:eastAsia="Times New Roman" w:hAnsi="Times New Roman"/>
          <w:b/>
          <w:color w:val="000000" w:themeColor="text1"/>
          <w:lang w:eastAsia="pl-PL"/>
        </w:rPr>
        <w:t>2024</w:t>
      </w:r>
      <w:r w:rsidR="00C70DCC" w:rsidRPr="00E82A21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C70DCC" w:rsidRPr="00E82A21">
        <w:rPr>
          <w:rFonts w:ascii="Times New Roman" w:eastAsia="Times New Roman" w:hAnsi="Times New Roman"/>
          <w:b/>
          <w:lang w:eastAsia="pl-PL"/>
        </w:rPr>
        <w:t>r.</w:t>
      </w:r>
      <w:bookmarkStart w:id="1" w:name="_GoBack"/>
      <w:bookmarkEnd w:id="1"/>
      <w:r w:rsidR="00C70DCC" w:rsidRPr="00E82A21">
        <w:rPr>
          <w:rFonts w:ascii="Times New Roman" w:eastAsia="Times New Roman" w:hAnsi="Times New Roman"/>
          <w:lang w:eastAsia="pl-PL"/>
        </w:rPr>
        <w:t xml:space="preserve"> Oferty</w:t>
      </w:r>
      <w:r w:rsidR="00C70DCC" w:rsidRPr="00E82A21">
        <w:rPr>
          <w:rFonts w:ascii="Times New Roman" w:eastAsia="Times New Roman" w:hAnsi="Times New Roman"/>
          <w:color w:val="000000"/>
          <w:lang w:eastAsia="pl-PL"/>
        </w:rPr>
        <w:t xml:space="preserve"> mogą zostać przesłane pocztą lub złożone osobiście. Decyduje data wpływu do Zamawiającego. 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5. Miejsce: 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Uniwersytet Medyczny w Białymstoku, Kancelaria Ogólna.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before="144"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Ofertę należy złożyć w kopercie zaadresowanej: Uniwersytet Medyczny w Białymstoku, ul. Jana Kilińskiego 1, 15-089 Białystok, koniecznie z dopiskiem: 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 xml:space="preserve">„Organizacja międzynarodowej imprezy turystycznej - zapytanie ofertowe 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nr </w:t>
      </w:r>
      <w:r w:rsidR="006C6690" w:rsidRPr="00E82A21">
        <w:rPr>
          <w:rFonts w:ascii="Times New Roman" w:hAnsi="Times New Roman"/>
          <w:color w:val="000000"/>
        </w:rPr>
        <w:t>AWM/NAW/1/2024/TM</w:t>
      </w:r>
      <w:r w:rsidRPr="00E82A21">
        <w:rPr>
          <w:rFonts w:ascii="Times New Roman" w:eastAsia="Times New Roman" w:hAnsi="Times New Roman"/>
          <w:color w:val="000000"/>
          <w:lang w:eastAsia="pl-PL"/>
        </w:rPr>
        <w:t>.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 xml:space="preserve"> Nie otwierać </w:t>
      </w:r>
      <w:r w:rsidRPr="00E82A21">
        <w:rPr>
          <w:rFonts w:ascii="Times New Roman" w:eastAsia="Times New Roman" w:hAnsi="Times New Roman"/>
          <w:b/>
          <w:lang w:eastAsia="pl-PL"/>
        </w:rPr>
        <w:t xml:space="preserve">przed </w:t>
      </w:r>
      <w:r w:rsidR="00A94150">
        <w:rPr>
          <w:rFonts w:ascii="Times New Roman" w:eastAsia="Times New Roman" w:hAnsi="Times New Roman"/>
          <w:b/>
          <w:color w:val="000000" w:themeColor="text1"/>
          <w:lang w:eastAsia="pl-PL"/>
        </w:rPr>
        <w:t>2</w:t>
      </w:r>
      <w:r w:rsidR="002644DF">
        <w:rPr>
          <w:rFonts w:ascii="Times New Roman" w:eastAsia="Times New Roman" w:hAnsi="Times New Roman"/>
          <w:b/>
          <w:color w:val="000000" w:themeColor="text1"/>
          <w:lang w:eastAsia="pl-PL"/>
        </w:rPr>
        <w:t>3</w:t>
      </w:r>
      <w:r w:rsidR="0061654F" w:rsidRPr="00E82A21">
        <w:rPr>
          <w:rFonts w:ascii="Times New Roman" w:eastAsia="Times New Roman" w:hAnsi="Times New Roman"/>
          <w:b/>
          <w:color w:val="000000" w:themeColor="text1"/>
          <w:lang w:eastAsia="pl-PL"/>
        </w:rPr>
        <w:t>.08.2024</w:t>
      </w:r>
      <w:r w:rsidRPr="00E82A21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r.”.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6. Uniwersytet Medyczny w Białymstoku zastrzega sobie prawo: </w:t>
      </w:r>
    </w:p>
    <w:p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- do </w:t>
      </w:r>
      <w:r w:rsidRPr="00E82A21">
        <w:rPr>
          <w:rFonts w:ascii="Times New Roman" w:eastAsia="Times New Roman" w:hAnsi="Times New Roman"/>
          <w:lang w:eastAsia="ar-SA"/>
        </w:rPr>
        <w:t>pozostawienia bez rozpatrzenia ofert, które wpłyną po terminie;</w:t>
      </w:r>
    </w:p>
    <w:p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do zmiany zakresu postępowania;</w:t>
      </w:r>
    </w:p>
    <w:p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do unieważnienia postępowania bez podania przyczyny. </w:t>
      </w:r>
    </w:p>
    <w:p w:rsidR="00C70DCC" w:rsidRPr="00E82A21" w:rsidRDefault="00C70DCC" w:rsidP="00C70DCC">
      <w:pPr>
        <w:spacing w:before="36" w:after="16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70DCC" w:rsidRPr="00E82A21" w:rsidRDefault="00C70DCC" w:rsidP="00C70DCC">
      <w:pPr>
        <w:spacing w:before="36" w:after="160" w:line="240" w:lineRule="auto"/>
        <w:ind w:left="-6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W przypadku złożenia kilku ofert z jednakową ceną za całościowe wykonanie usługi, wybrani oferenci zostaną poproszeni o ponowne złożenie oferty. </w:t>
      </w:r>
    </w:p>
    <w:p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E82A21">
        <w:rPr>
          <w:rFonts w:ascii="Times New Roman" w:eastAsia="Times New Roman" w:hAnsi="Times New Roman"/>
          <w:b/>
          <w:lang w:eastAsia="ar-SA"/>
        </w:rPr>
        <w:t>Załączniki:</w:t>
      </w:r>
    </w:p>
    <w:p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Załącznik nr 1 – wzór formularza ofertowego;</w:t>
      </w:r>
    </w:p>
    <w:p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Załącznik nr 2 – wzór umowy; </w:t>
      </w:r>
    </w:p>
    <w:p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Załącznik nr 3 – wzór oświadczenia o braku osobowych lub kapitałowych powiązań z Zamawiającym;</w:t>
      </w:r>
    </w:p>
    <w:p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Załącznik nr 4 – wzór protokołu zdawczo-odbiorczego. </w:t>
      </w:r>
    </w:p>
    <w:p w:rsidR="0002279C" w:rsidRPr="00E82A21" w:rsidRDefault="0002279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lang w:eastAsia="ar-SA"/>
        </w:rPr>
        <w:br w:type="page"/>
      </w:r>
      <w:r w:rsidRPr="00E82A21">
        <w:rPr>
          <w:rFonts w:ascii="Times New Roman" w:eastAsia="Times New Roman" w:hAnsi="Times New Roman"/>
          <w:b/>
          <w:lang w:eastAsia="ar-SA"/>
        </w:rPr>
        <w:lastRenderedPageBreak/>
        <w:t xml:space="preserve">Klauzula informacyjna dotycząca przetwarzania danych </w:t>
      </w:r>
    </w:p>
    <w:p w:rsidR="0002279C" w:rsidRPr="00E82A21" w:rsidRDefault="0002279C" w:rsidP="0002279C">
      <w:pPr>
        <w:suppressAutoHyphens/>
        <w:spacing w:after="15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2279C" w:rsidRPr="00E82A21" w:rsidRDefault="0002279C" w:rsidP="0002279C">
      <w:pPr>
        <w:suppressAutoHyphens/>
        <w:spacing w:after="15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E82A21">
        <w:rPr>
          <w:rFonts w:ascii="Times New Roman" w:eastAsia="Times New Roman" w:hAnsi="Times New Roman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82A21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02279C" w:rsidRPr="00E82A21" w:rsidRDefault="0002279C" w:rsidP="0002279C">
      <w:pPr>
        <w:numPr>
          <w:ilvl w:val="0"/>
          <w:numId w:val="16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E82A21">
        <w:rPr>
          <w:rFonts w:ascii="Times New Roman" w:eastAsia="Times New Roman" w:hAnsi="Times New Roman"/>
          <w:lang w:eastAsia="ar-SA"/>
        </w:rPr>
        <w:t>;</w:t>
      </w:r>
    </w:p>
    <w:p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kontakt do inspektora ochrony danych osobowych:</w:t>
      </w:r>
      <w:r w:rsidRPr="00E82A21">
        <w:rPr>
          <w:rFonts w:ascii="Times New Roman" w:eastAsia="Times New Roman" w:hAnsi="Times New Roman"/>
          <w:i/>
          <w:lang w:eastAsia="pl-PL"/>
        </w:rPr>
        <w:t xml:space="preserve">   iod@umb.edu.pl</w:t>
      </w:r>
      <w:r w:rsidRPr="00E82A21">
        <w:rPr>
          <w:rFonts w:ascii="Times New Roman" w:eastAsia="Times New Roman" w:hAnsi="Times New Roman"/>
          <w:lang w:eastAsia="pl-PL"/>
        </w:rPr>
        <w:t>;</w:t>
      </w:r>
    </w:p>
    <w:p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dane osobowe przetwarzane będą na podstawie art. 6 ust. 1 lit. b</w:t>
      </w:r>
      <w:r w:rsidRPr="00E82A21">
        <w:rPr>
          <w:rFonts w:ascii="Times New Roman" w:eastAsia="Times New Roman" w:hAnsi="Times New Roman"/>
          <w:i/>
          <w:lang w:eastAsia="pl-PL"/>
        </w:rPr>
        <w:t xml:space="preserve"> </w:t>
      </w:r>
      <w:r w:rsidRPr="00E82A21">
        <w:rPr>
          <w:rFonts w:ascii="Times New Roman" w:eastAsia="Times New Roman" w:hAnsi="Times New Roman"/>
          <w:lang w:eastAsia="pl-PL"/>
        </w:rPr>
        <w:t xml:space="preserve">RODO w celu </w:t>
      </w:r>
      <w:r w:rsidRPr="00E82A21">
        <w:rPr>
          <w:rFonts w:ascii="Times New Roman" w:eastAsia="Times New Roman" w:hAnsi="Times New Roman"/>
          <w:lang w:eastAsia="ar-SA"/>
        </w:rPr>
        <w:t xml:space="preserve">związanym z zawarciem umowy na podstawie złożonej oferty oraz na podstawie art. 6 ust. 1 lit. a RODO w celu oceny złożonej oferty i kontaktu z oferentem; </w:t>
      </w:r>
    </w:p>
    <w:p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Zamawiającym; </w:t>
      </w:r>
    </w:p>
    <w:p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dane osobowe będą przechowywane przez okres wynikający z przepisów prawa tj. 5 lat od dnia zakończenia umowy;</w:t>
      </w:r>
    </w:p>
    <w:p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pl-PL"/>
        </w:rPr>
        <w:t>w odniesieniu do danych osobowych decyzje nie będą podejmowane w sposób zautomatyzowany, stosowanie do art. 22 RODO;</w:t>
      </w:r>
    </w:p>
    <w:p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wykonawca posiada:</w:t>
      </w:r>
    </w:p>
    <w:p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na podstawie art. 15 RODO prawo dostępu do danych osobowych;</w:t>
      </w:r>
    </w:p>
    <w:p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na podstawie art. 16 RODO prawo do sprostowania danych osobowych</w:t>
      </w:r>
      <w:r w:rsidRPr="00E82A21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E82A21">
        <w:rPr>
          <w:rFonts w:ascii="Times New Roman" w:eastAsia="Times New Roman" w:hAnsi="Times New Roman"/>
          <w:lang w:eastAsia="pl-PL"/>
        </w:rPr>
        <w:t>;</w:t>
      </w:r>
    </w:p>
    <w:p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E82A21">
        <w:rPr>
          <w:rFonts w:ascii="Times New Roman" w:eastAsia="Times New Roman" w:hAnsi="Times New Roman"/>
          <w:vertAlign w:val="superscript"/>
          <w:lang w:eastAsia="pl-PL"/>
        </w:rPr>
        <w:t>2</w:t>
      </w:r>
      <w:r w:rsidRPr="00E82A21">
        <w:rPr>
          <w:rFonts w:ascii="Times New Roman" w:eastAsia="Times New Roman" w:hAnsi="Times New Roman"/>
          <w:lang w:eastAsia="pl-PL"/>
        </w:rPr>
        <w:t xml:space="preserve">;  </w:t>
      </w:r>
    </w:p>
    <w:p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nie przysługuje Wykonawcy:</w:t>
      </w:r>
    </w:p>
    <w:p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E82A21">
        <w:rPr>
          <w:rFonts w:ascii="Times New Roman" w:eastAsia="Times New Roman" w:hAnsi="Times New Roman"/>
          <w:lang w:eastAsia="ar-SA"/>
        </w:rPr>
        <w:t xml:space="preserve">  </w:t>
      </w:r>
    </w:p>
    <w:p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E82A21">
        <w:rPr>
          <w:rFonts w:ascii="Times New Roman" w:eastAsia="Times New Roman" w:hAnsi="Times New Roman"/>
          <w:vertAlign w:val="superscript"/>
          <w:lang w:eastAsia="ar-SA"/>
        </w:rPr>
        <w:t>1</w:t>
      </w:r>
      <w:r w:rsidRPr="00E82A21">
        <w:rPr>
          <w:rFonts w:ascii="Times New Roman" w:eastAsia="Times New Roman" w:hAnsi="Times New Roman"/>
          <w:b/>
          <w:i/>
          <w:vertAlign w:val="superscript"/>
          <w:lang w:eastAsia="ar-SA"/>
        </w:rPr>
        <w:t xml:space="preserve"> </w:t>
      </w:r>
      <w:r w:rsidRPr="00E82A21">
        <w:rPr>
          <w:rFonts w:ascii="Times New Roman" w:eastAsia="Times New Roman" w:hAnsi="Times New Roman"/>
          <w:b/>
          <w:i/>
          <w:lang w:eastAsia="ar-SA"/>
        </w:rPr>
        <w:t>Wyjaśnienie:</w:t>
      </w:r>
      <w:r w:rsidRPr="00E82A21">
        <w:rPr>
          <w:rFonts w:ascii="Times New Roman" w:eastAsia="Times New Roman" w:hAnsi="Times New Roman"/>
          <w:i/>
          <w:lang w:eastAsia="ar-SA"/>
        </w:rPr>
        <w:t xml:space="preserve"> </w:t>
      </w:r>
      <w:r w:rsidRPr="00E82A21"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 w:rsidRPr="00E82A21">
        <w:rPr>
          <w:rFonts w:ascii="Times New Roman" w:eastAsia="Times New Roman" w:hAnsi="Times New Roman"/>
          <w:i/>
          <w:lang w:eastAsia="ar-SA"/>
        </w:rPr>
        <w:t xml:space="preserve">wyniku konkursu ani zmianą postanowień umowy </w:t>
      </w:r>
    </w:p>
    <w:p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</w:p>
    <w:p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b/>
          <w:i/>
          <w:vertAlign w:val="superscript"/>
          <w:lang w:eastAsia="ar-SA"/>
        </w:rPr>
        <w:t xml:space="preserve">2  </w:t>
      </w:r>
      <w:r w:rsidRPr="00E82A21">
        <w:rPr>
          <w:rFonts w:ascii="Times New Roman" w:eastAsia="Times New Roman" w:hAnsi="Times New Roman"/>
          <w:b/>
          <w:i/>
          <w:lang w:eastAsia="ar-SA"/>
        </w:rPr>
        <w:t>Wyjaśnienie:</w:t>
      </w:r>
      <w:r w:rsidRPr="00E82A21">
        <w:rPr>
          <w:rFonts w:ascii="Times New Roman" w:eastAsia="Times New Roman" w:hAnsi="Times New Roman"/>
          <w:i/>
          <w:lang w:eastAsia="ar-SA"/>
        </w:rPr>
        <w:t xml:space="preserve"> prawo do ograniczenia przetwarzania nie ma zastosowania w odniesieniu do </w:t>
      </w:r>
      <w:r w:rsidRPr="00E82A21">
        <w:rPr>
          <w:rFonts w:ascii="Times New Roman" w:eastAsia="Times New Roman" w:hAnsi="Times New Roman"/>
          <w:i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</w:p>
    <w:p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</w:p>
    <w:p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02279C" w:rsidRPr="00E82A21" w:rsidRDefault="0002279C" w:rsidP="0002279C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02279C" w:rsidRPr="00E82A21" w:rsidRDefault="0002279C" w:rsidP="0002279C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F6233" w:rsidRPr="00E82A21" w:rsidRDefault="003F6233" w:rsidP="003F6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F6233" w:rsidRPr="00E82A21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E5" w:rsidRDefault="00741FE5" w:rsidP="00E80A08">
      <w:pPr>
        <w:spacing w:after="0" w:line="240" w:lineRule="auto"/>
      </w:pPr>
      <w:r>
        <w:separator/>
      </w:r>
    </w:p>
  </w:endnote>
  <w:endnote w:type="continuationSeparator" w:id="0">
    <w:p w:rsidR="00741FE5" w:rsidRDefault="00741FE5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F259F8" w:rsidRDefault="00F259F8" w:rsidP="00F259F8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-387350</wp:posOffset>
                </wp:positionH>
                <wp:positionV relativeFrom="margin">
                  <wp:posOffset>166370</wp:posOffset>
                </wp:positionV>
                <wp:extent cx="1514475" cy="751840"/>
                <wp:effectExtent l="0" t="0" r="9525" b="0"/>
                <wp:wrapNone/>
                <wp:docPr id="7" name="Obraz 7" descr="../Downloads/K1_logo_wers_podstawowa_PL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../Downloads/K1_logo_wers_podstawowa_PL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51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259F8" w:rsidRPr="00F259F8" w:rsidRDefault="00F259F8" w:rsidP="00F259F8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 w:rsidRPr="00F259F8">
            <w:rPr>
              <w:rFonts w:ascii="Times New Roman" w:hAnsi="Times New Roman"/>
              <w:noProof/>
              <w:sz w:val="24"/>
              <w:szCs w:val="18"/>
              <w:lang w:eastAsia="pl-PL"/>
            </w:rPr>
            <w:t xml:space="preserve">Projekt finansowany przez </w:t>
          </w:r>
        </w:p>
        <w:p w:rsidR="00F259F8" w:rsidRPr="00F259F8" w:rsidRDefault="00F259F8" w:rsidP="00F259F8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 w:rsidRPr="00F259F8">
            <w:rPr>
              <w:rFonts w:ascii="Times New Roman" w:hAnsi="Times New Roman"/>
              <w:noProof/>
              <w:sz w:val="24"/>
              <w:szCs w:val="18"/>
              <w:lang w:eastAsia="pl-PL"/>
            </w:rPr>
            <w:t>Narodową Agencje Wymiany Akademickiej</w:t>
          </w:r>
        </w:p>
        <w:p w:rsidR="00AD69BC" w:rsidRPr="00303DB1" w:rsidRDefault="00F259F8" w:rsidP="00F259F8">
          <w:pPr>
            <w:spacing w:after="0"/>
            <w:jc w:val="center"/>
            <w:rPr>
              <w:noProof/>
              <w:sz w:val="18"/>
              <w:szCs w:val="18"/>
              <w:lang w:eastAsia="pl-PL"/>
            </w:rPr>
          </w:pPr>
          <w:r w:rsidRPr="00F259F8">
            <w:rPr>
              <w:rFonts w:ascii="Times New Roman" w:hAnsi="Times New Roman"/>
              <w:noProof/>
              <w:sz w:val="24"/>
              <w:szCs w:val="18"/>
              <w:lang w:eastAsia="pl-PL"/>
            </w:rPr>
            <w:t xml:space="preserve"> w ramach programu Welcome to Poland (2023)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E5" w:rsidRDefault="00741FE5" w:rsidP="00E80A08">
      <w:pPr>
        <w:spacing w:after="0" w:line="240" w:lineRule="auto"/>
      </w:pPr>
      <w:r>
        <w:separator/>
      </w:r>
    </w:p>
  </w:footnote>
  <w:footnote w:type="continuationSeparator" w:id="0">
    <w:p w:rsidR="00741FE5" w:rsidRDefault="00741FE5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79524B" w:rsidP="0079524B">
    <w:pPr>
      <w:pStyle w:val="Nagwek"/>
    </w:pPr>
    <w:r>
      <w:rPr>
        <w:noProof/>
        <w:lang w:val="en-GB" w:eastAsia="en-GB"/>
      </w:rPr>
      <w:drawing>
        <wp:inline distT="0" distB="0" distL="0" distR="0">
          <wp:extent cx="771525" cy="790575"/>
          <wp:effectExtent l="0" t="0" r="9525" b="9525"/>
          <wp:docPr id="2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174B3"/>
    <w:multiLevelType w:val="hybridMultilevel"/>
    <w:tmpl w:val="476EBF64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C4482"/>
    <w:multiLevelType w:val="hybridMultilevel"/>
    <w:tmpl w:val="937A4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4B74"/>
    <w:multiLevelType w:val="hybridMultilevel"/>
    <w:tmpl w:val="E79C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D0622"/>
    <w:multiLevelType w:val="hybridMultilevel"/>
    <w:tmpl w:val="CFCA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021F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31042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1345C"/>
    <w:multiLevelType w:val="hybridMultilevel"/>
    <w:tmpl w:val="476EBF64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125A3"/>
    <w:multiLevelType w:val="hybridMultilevel"/>
    <w:tmpl w:val="4FAE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23"/>
  </w:num>
  <w:num w:numId="13">
    <w:abstractNumId w:val="13"/>
  </w:num>
  <w:num w:numId="14">
    <w:abstractNumId w:val="21"/>
  </w:num>
  <w:num w:numId="15">
    <w:abstractNumId w:val="10"/>
  </w:num>
  <w:num w:numId="16">
    <w:abstractNumId w:val="20"/>
  </w:num>
  <w:num w:numId="17">
    <w:abstractNumId w:val="14"/>
  </w:num>
  <w:num w:numId="18">
    <w:abstractNumId w:val="12"/>
  </w:num>
  <w:num w:numId="19">
    <w:abstractNumId w:val="15"/>
  </w:num>
  <w:num w:numId="20">
    <w:abstractNumId w:val="27"/>
  </w:num>
  <w:num w:numId="21">
    <w:abstractNumId w:val="11"/>
  </w:num>
  <w:num w:numId="22">
    <w:abstractNumId w:val="24"/>
  </w:num>
  <w:num w:numId="23">
    <w:abstractNumId w:val="19"/>
  </w:num>
  <w:num w:numId="24">
    <w:abstractNumId w:val="18"/>
  </w:num>
  <w:num w:numId="25">
    <w:abstractNumId w:val="1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052E7"/>
    <w:rsid w:val="00014C37"/>
    <w:rsid w:val="0002279C"/>
    <w:rsid w:val="00042855"/>
    <w:rsid w:val="00050A03"/>
    <w:rsid w:val="00052D7E"/>
    <w:rsid w:val="000732C9"/>
    <w:rsid w:val="00081EA5"/>
    <w:rsid w:val="00091477"/>
    <w:rsid w:val="00095CC0"/>
    <w:rsid w:val="000A3BD0"/>
    <w:rsid w:val="000B6080"/>
    <w:rsid w:val="000C39CF"/>
    <w:rsid w:val="000D4C02"/>
    <w:rsid w:val="00110E9B"/>
    <w:rsid w:val="00121B7E"/>
    <w:rsid w:val="001300FD"/>
    <w:rsid w:val="001414BC"/>
    <w:rsid w:val="00145747"/>
    <w:rsid w:val="00152C57"/>
    <w:rsid w:val="00176846"/>
    <w:rsid w:val="00190557"/>
    <w:rsid w:val="001A01A7"/>
    <w:rsid w:val="001A13A7"/>
    <w:rsid w:val="001A4BDA"/>
    <w:rsid w:val="001C2B6E"/>
    <w:rsid w:val="001C435D"/>
    <w:rsid w:val="001D7616"/>
    <w:rsid w:val="001E2259"/>
    <w:rsid w:val="0021226E"/>
    <w:rsid w:val="002154EF"/>
    <w:rsid w:val="0022360D"/>
    <w:rsid w:val="00232824"/>
    <w:rsid w:val="00232EAF"/>
    <w:rsid w:val="00253A5F"/>
    <w:rsid w:val="002644DF"/>
    <w:rsid w:val="00276470"/>
    <w:rsid w:val="002A5307"/>
    <w:rsid w:val="002B2A07"/>
    <w:rsid w:val="002B30E2"/>
    <w:rsid w:val="002C79AB"/>
    <w:rsid w:val="002F5B51"/>
    <w:rsid w:val="003021F1"/>
    <w:rsid w:val="003353A5"/>
    <w:rsid w:val="00341901"/>
    <w:rsid w:val="0034652F"/>
    <w:rsid w:val="003A734A"/>
    <w:rsid w:val="003D73FF"/>
    <w:rsid w:val="003F115D"/>
    <w:rsid w:val="003F6233"/>
    <w:rsid w:val="00400498"/>
    <w:rsid w:val="00407976"/>
    <w:rsid w:val="00410F77"/>
    <w:rsid w:val="0042392F"/>
    <w:rsid w:val="00425969"/>
    <w:rsid w:val="004274F7"/>
    <w:rsid w:val="00436E23"/>
    <w:rsid w:val="00463B25"/>
    <w:rsid w:val="00497FE3"/>
    <w:rsid w:val="004B71CC"/>
    <w:rsid w:val="004D762F"/>
    <w:rsid w:val="004F3F8A"/>
    <w:rsid w:val="00514E06"/>
    <w:rsid w:val="00514F43"/>
    <w:rsid w:val="005401BA"/>
    <w:rsid w:val="00551CEF"/>
    <w:rsid w:val="005547BD"/>
    <w:rsid w:val="00563A11"/>
    <w:rsid w:val="005733A3"/>
    <w:rsid w:val="00575E7F"/>
    <w:rsid w:val="00586603"/>
    <w:rsid w:val="005872C1"/>
    <w:rsid w:val="005A254C"/>
    <w:rsid w:val="005B6C46"/>
    <w:rsid w:val="005C2773"/>
    <w:rsid w:val="005C3C32"/>
    <w:rsid w:val="005E0B08"/>
    <w:rsid w:val="005E1299"/>
    <w:rsid w:val="006021D4"/>
    <w:rsid w:val="006042CC"/>
    <w:rsid w:val="006065E4"/>
    <w:rsid w:val="0061654F"/>
    <w:rsid w:val="00622078"/>
    <w:rsid w:val="00643B8F"/>
    <w:rsid w:val="006666C4"/>
    <w:rsid w:val="006731B1"/>
    <w:rsid w:val="00677A08"/>
    <w:rsid w:val="006846C2"/>
    <w:rsid w:val="006C5BD7"/>
    <w:rsid w:val="006C6690"/>
    <w:rsid w:val="006D029D"/>
    <w:rsid w:val="006E7EED"/>
    <w:rsid w:val="006F54AA"/>
    <w:rsid w:val="00701B02"/>
    <w:rsid w:val="00706CB8"/>
    <w:rsid w:val="00714839"/>
    <w:rsid w:val="0073092B"/>
    <w:rsid w:val="00737131"/>
    <w:rsid w:val="00741FE5"/>
    <w:rsid w:val="00747BA8"/>
    <w:rsid w:val="00755368"/>
    <w:rsid w:val="00793BDE"/>
    <w:rsid w:val="0079524B"/>
    <w:rsid w:val="007A3F60"/>
    <w:rsid w:val="007A4192"/>
    <w:rsid w:val="007B3FF0"/>
    <w:rsid w:val="007B7F03"/>
    <w:rsid w:val="007C6077"/>
    <w:rsid w:val="007C752A"/>
    <w:rsid w:val="00802945"/>
    <w:rsid w:val="0080431D"/>
    <w:rsid w:val="008147C0"/>
    <w:rsid w:val="008307A5"/>
    <w:rsid w:val="00833118"/>
    <w:rsid w:val="00835FD1"/>
    <w:rsid w:val="0084019A"/>
    <w:rsid w:val="00840683"/>
    <w:rsid w:val="00845DB4"/>
    <w:rsid w:val="008469CE"/>
    <w:rsid w:val="00853EC3"/>
    <w:rsid w:val="00882D5D"/>
    <w:rsid w:val="0088365F"/>
    <w:rsid w:val="008928B2"/>
    <w:rsid w:val="008A38B5"/>
    <w:rsid w:val="008A4665"/>
    <w:rsid w:val="008B0E81"/>
    <w:rsid w:val="008B2B39"/>
    <w:rsid w:val="008E1279"/>
    <w:rsid w:val="008E12F7"/>
    <w:rsid w:val="008E6BBC"/>
    <w:rsid w:val="008F2315"/>
    <w:rsid w:val="00922F37"/>
    <w:rsid w:val="00923732"/>
    <w:rsid w:val="0093613C"/>
    <w:rsid w:val="00952C3D"/>
    <w:rsid w:val="00972213"/>
    <w:rsid w:val="009D1D7E"/>
    <w:rsid w:val="009E01CB"/>
    <w:rsid w:val="009E6120"/>
    <w:rsid w:val="009F3234"/>
    <w:rsid w:val="00A12105"/>
    <w:rsid w:val="00A14C84"/>
    <w:rsid w:val="00A330F2"/>
    <w:rsid w:val="00A414B9"/>
    <w:rsid w:val="00A51DB9"/>
    <w:rsid w:val="00A551E0"/>
    <w:rsid w:val="00A57533"/>
    <w:rsid w:val="00A723E6"/>
    <w:rsid w:val="00A82314"/>
    <w:rsid w:val="00A94150"/>
    <w:rsid w:val="00AB3FC4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46D5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0A41"/>
    <w:rsid w:val="00C41401"/>
    <w:rsid w:val="00C60333"/>
    <w:rsid w:val="00C61BF0"/>
    <w:rsid w:val="00C652FA"/>
    <w:rsid w:val="00C70DCC"/>
    <w:rsid w:val="00C76166"/>
    <w:rsid w:val="00C860B2"/>
    <w:rsid w:val="00CA2679"/>
    <w:rsid w:val="00CA7CDF"/>
    <w:rsid w:val="00CC5B9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0197"/>
    <w:rsid w:val="00D942C7"/>
    <w:rsid w:val="00D94C7B"/>
    <w:rsid w:val="00DA7B35"/>
    <w:rsid w:val="00DB1FDC"/>
    <w:rsid w:val="00DC53BD"/>
    <w:rsid w:val="00DE53C1"/>
    <w:rsid w:val="00E02228"/>
    <w:rsid w:val="00E145A6"/>
    <w:rsid w:val="00E43A35"/>
    <w:rsid w:val="00E56D86"/>
    <w:rsid w:val="00E57882"/>
    <w:rsid w:val="00E743AE"/>
    <w:rsid w:val="00E80A08"/>
    <w:rsid w:val="00E82A21"/>
    <w:rsid w:val="00EA140E"/>
    <w:rsid w:val="00EA25C6"/>
    <w:rsid w:val="00EA7BCD"/>
    <w:rsid w:val="00EC1F87"/>
    <w:rsid w:val="00EF699E"/>
    <w:rsid w:val="00F0290F"/>
    <w:rsid w:val="00F0507A"/>
    <w:rsid w:val="00F05AD7"/>
    <w:rsid w:val="00F259F8"/>
    <w:rsid w:val="00F332C3"/>
    <w:rsid w:val="00F46360"/>
    <w:rsid w:val="00F53197"/>
    <w:rsid w:val="00F63796"/>
    <w:rsid w:val="00F6563D"/>
    <w:rsid w:val="00F6793B"/>
    <w:rsid w:val="00F77FFC"/>
    <w:rsid w:val="00F80F9E"/>
    <w:rsid w:val="00F82EA1"/>
    <w:rsid w:val="00F8308C"/>
    <w:rsid w:val="00FB6634"/>
    <w:rsid w:val="00FB7E91"/>
    <w:rsid w:val="00FD0822"/>
    <w:rsid w:val="00FD51F4"/>
    <w:rsid w:val="00FD625E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7D8BC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33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2557-6DE3-484D-AE40-29924069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37</cp:revision>
  <cp:lastPrinted>2024-07-22T13:11:00Z</cp:lastPrinted>
  <dcterms:created xsi:type="dcterms:W3CDTF">2022-08-10T08:17:00Z</dcterms:created>
  <dcterms:modified xsi:type="dcterms:W3CDTF">2024-08-14T12:26:00Z</dcterms:modified>
</cp:coreProperties>
</file>