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F838" w14:textId="35B73165" w:rsidR="00284CEC" w:rsidRPr="00284CEC" w:rsidRDefault="00284CEC" w:rsidP="00284CE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84CE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MODYFIKACJA</w:t>
      </w:r>
    </w:p>
    <w:p w14:paraId="4FEEBA3F" w14:textId="6181F83B" w:rsidR="00284CEC" w:rsidRPr="00015864" w:rsidRDefault="00284CEC" w:rsidP="00284CEC">
      <w:pPr>
        <w:pStyle w:val="Akapitzlist"/>
        <w:widowControl/>
        <w:numPr>
          <w:ilvl w:val="0"/>
          <w:numId w:val="31"/>
        </w:numPr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01586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Załącznik nr 2, pkt 1, ust. 3), 5);</w:t>
      </w:r>
    </w:p>
    <w:p w14:paraId="0A754A19" w14:textId="2EC4DC82" w:rsidR="00284CEC" w:rsidRPr="00015864" w:rsidRDefault="00284CEC" w:rsidP="00284CEC">
      <w:pPr>
        <w:pStyle w:val="Akapitzlist"/>
        <w:widowControl/>
        <w:numPr>
          <w:ilvl w:val="0"/>
          <w:numId w:val="31"/>
        </w:numPr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01586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Załącznik nr 5, pkt ust 6)</w:t>
      </w:r>
      <w:r w:rsidR="00525299" w:rsidRPr="0001586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, 11), 13), 17)</w:t>
      </w:r>
      <w:r w:rsidR="00015864" w:rsidRPr="0001586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;</w:t>
      </w:r>
    </w:p>
    <w:p w14:paraId="286C494C" w14:textId="77777777" w:rsidR="000C6E2C" w:rsidRPr="000D0F02" w:rsidRDefault="000C6E2C" w:rsidP="000C6E2C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5D44B14A" w14:textId="77777777" w:rsidR="000C6E2C" w:rsidRPr="007F4DB7" w:rsidRDefault="000C6E2C" w:rsidP="007F4DB7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7F4DB7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2F524511" w14:textId="77777777" w:rsidR="000C6E2C" w:rsidRPr="00CF251C" w:rsidRDefault="000C6E2C" w:rsidP="000C6E2C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02306736" w14:textId="77777777" w:rsidR="000C6E2C" w:rsidRPr="00CF251C" w:rsidRDefault="000C6E2C" w:rsidP="000C6E2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01136660" w14:textId="77777777" w:rsidR="000C6E2C" w:rsidRDefault="000C6E2C" w:rsidP="000C6E2C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1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51B2AC16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80AAE6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9290A67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680EAE1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ABFB54B" w14:textId="77777777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79AEC51" w14:textId="77777777" w:rsidR="000C6E2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D68B2BF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49E22A0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01A33AC8" w14:textId="75D4F4AE" w:rsidR="000C6E2C" w:rsidRPr="00CF251C" w:rsidRDefault="000C6E2C" w:rsidP="000C6E2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6E12B849" w14:textId="4D6698FE" w:rsidR="000C6E2C" w:rsidRPr="00CF251C" w:rsidRDefault="000C6E2C" w:rsidP="000C6E2C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04D4B7A4" w14:textId="2F01B169" w:rsidR="000C6E2C" w:rsidRPr="00CF251C" w:rsidRDefault="000C6E2C" w:rsidP="000C6E2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F95BE88" w14:textId="40F4ADD9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5232CF14" w14:textId="0C4895D1" w:rsidR="000C6E2C" w:rsidRPr="007A15CD" w:rsidRDefault="000C6E2C" w:rsidP="000C6E2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023F1C38" w14:textId="60060BDE" w:rsidR="000C6E2C" w:rsidRPr="007A15CD" w:rsidRDefault="000C6E2C" w:rsidP="000C6E2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A2A3DAD" w14:textId="77777777" w:rsidR="000C6E2C" w:rsidRPr="00CF251C" w:rsidRDefault="000C6E2C" w:rsidP="000C6E2C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</w:p>
    <w:p w14:paraId="518CEB91" w14:textId="77777777" w:rsidR="000C6E2C" w:rsidRPr="00CF251C" w:rsidRDefault="000C6E2C" w:rsidP="000C6E2C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8B9BBF4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04B2B51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184E4330" w:rsidR="0095537D" w:rsidRPr="00105C47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</w:t>
      </w:r>
    </w:p>
    <w:p w14:paraId="41358847" w14:textId="553537BC" w:rsidR="0095537D" w:rsidRPr="00105C47" w:rsidRDefault="006524D6" w:rsidP="007F4DB7">
      <w:pPr>
        <w:pStyle w:val="Nagwek1"/>
        <w:ind w:right="91"/>
        <w:jc w:val="center"/>
      </w:pPr>
      <w:r w:rsidRPr="00105C47">
        <w:t>OPIS PR</w:t>
      </w:r>
      <w:r w:rsidR="007F4DB7">
        <w:t>ZEDMIOTU ZAMÓWIENIA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32D40565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22D728" w14:textId="1EFB76F5" w:rsidR="00047F68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1 </w:t>
      </w:r>
      <w:r w:rsidR="00047ED9"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36D945DD" w14:textId="77777777" w:rsidR="00A4626D" w:rsidRDefault="00A4626D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76EC2E7F" w14:textId="77777777" w:rsidR="00B137A3" w:rsidRPr="008A2501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5A500E97" w14:textId="2CF3B002" w:rsidR="004779D7" w:rsidRPr="001D62B6" w:rsidRDefault="004779D7" w:rsidP="001D62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779D7">
        <w:rPr>
          <w:rFonts w:ascii="Calibri" w:hAnsi="Calibri" w:cs="Calibri"/>
          <w:sz w:val="24"/>
          <w:szCs w:val="24"/>
        </w:rPr>
        <w:t xml:space="preserve">Blok grzewczy do ogrzewania płytek </w:t>
      </w:r>
      <w:proofErr w:type="spellStart"/>
      <w:r w:rsidRPr="004779D7">
        <w:rPr>
          <w:rFonts w:ascii="Calibri" w:hAnsi="Calibri" w:cs="Calibri"/>
          <w:sz w:val="24"/>
          <w:szCs w:val="24"/>
        </w:rPr>
        <w:t>wielodołkowych</w:t>
      </w:r>
      <w:proofErr w:type="spellEnd"/>
      <w:r w:rsidRPr="004779D7">
        <w:rPr>
          <w:rFonts w:ascii="Calibri" w:hAnsi="Calibri" w:cs="Calibri"/>
          <w:sz w:val="24"/>
          <w:szCs w:val="24"/>
        </w:rPr>
        <w:t xml:space="preserve"> i probówek, </w:t>
      </w:r>
      <w:r>
        <w:rPr>
          <w:rFonts w:ascii="Calibri" w:hAnsi="Calibri" w:cs="Calibri"/>
          <w:sz w:val="24"/>
          <w:szCs w:val="24"/>
        </w:rPr>
        <w:t>p</w:t>
      </w:r>
      <w:r w:rsidRPr="004779D7">
        <w:rPr>
          <w:rFonts w:ascii="Calibri" w:hAnsi="Calibri" w:cs="Calibri"/>
          <w:sz w:val="24"/>
          <w:szCs w:val="24"/>
        </w:rPr>
        <w:t xml:space="preserve">rzystosowany do pracy co </w:t>
      </w:r>
      <w:r w:rsidRPr="001D62B6">
        <w:rPr>
          <w:rFonts w:ascii="Calibri" w:hAnsi="Calibri" w:cs="Calibri"/>
          <w:sz w:val="24"/>
          <w:szCs w:val="24"/>
        </w:rPr>
        <w:t>najmniej z:</w:t>
      </w:r>
    </w:p>
    <w:p w14:paraId="38BAD322" w14:textId="44E0CDAF" w:rsidR="001D62B6" w:rsidRPr="001D62B6" w:rsidRDefault="001D62B6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 xml:space="preserve">płytkami </w:t>
      </w:r>
      <w:proofErr w:type="spellStart"/>
      <w:r w:rsidRPr="001D62B6">
        <w:rPr>
          <w:rFonts w:ascii="Calibri" w:hAnsi="Calibri" w:cs="Calibri"/>
          <w:sz w:val="24"/>
          <w:szCs w:val="24"/>
        </w:rPr>
        <w:t>wielodołkowymi</w:t>
      </w:r>
      <w:proofErr w:type="spellEnd"/>
      <w:r w:rsidRPr="001D62B6">
        <w:rPr>
          <w:rFonts w:ascii="Calibri" w:hAnsi="Calibri" w:cs="Calibri"/>
          <w:sz w:val="24"/>
          <w:szCs w:val="24"/>
        </w:rPr>
        <w:t xml:space="preserve"> o pojemności 0,8 ml, </w:t>
      </w:r>
    </w:p>
    <w:p w14:paraId="2DDC7587" w14:textId="7F3F9BEB" w:rsidR="001D62B6" w:rsidRPr="001D62B6" w:rsidRDefault="001D62B6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probówkami 96x0,2 ml,</w:t>
      </w:r>
    </w:p>
    <w:p w14:paraId="350C3826" w14:textId="464D9569" w:rsidR="004779D7" w:rsidRPr="001D62B6" w:rsidRDefault="004779D7" w:rsidP="004779D7">
      <w:pPr>
        <w:pStyle w:val="Akapitzlist"/>
        <w:numPr>
          <w:ilvl w:val="0"/>
          <w:numId w:val="29"/>
        </w:numPr>
        <w:spacing w:line="360" w:lineRule="auto"/>
        <w:ind w:left="993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probówkami 32x1,5 ml</w:t>
      </w:r>
    </w:p>
    <w:p w14:paraId="30D2E2D2" w14:textId="7DFAD2A4" w:rsidR="004779D7" w:rsidRPr="001D62B6" w:rsidRDefault="004779D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 xml:space="preserve">Wyposażony w pokrywę grzejącą ograniczającą parowanie. </w:t>
      </w:r>
    </w:p>
    <w:p w14:paraId="2554640A" w14:textId="27346379" w:rsidR="004779D7" w:rsidRPr="004779D7" w:rsidRDefault="004779D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D62B6">
        <w:rPr>
          <w:rFonts w:ascii="Calibri" w:hAnsi="Calibri" w:cs="Calibri"/>
          <w:sz w:val="24"/>
          <w:szCs w:val="24"/>
        </w:rPr>
        <w:t>Zakres regul</w:t>
      </w:r>
      <w:r w:rsidR="00284CEC">
        <w:rPr>
          <w:rFonts w:ascii="Calibri" w:hAnsi="Calibri" w:cs="Calibri"/>
          <w:sz w:val="24"/>
          <w:szCs w:val="24"/>
        </w:rPr>
        <w:t xml:space="preserve">acji temperatury </w:t>
      </w:r>
      <w:r w:rsidR="00284CEC" w:rsidRPr="006F6B58">
        <w:rPr>
          <w:rFonts w:ascii="Calibri" w:hAnsi="Calibri" w:cs="Calibri"/>
          <w:color w:val="FF0000"/>
          <w:sz w:val="24"/>
          <w:szCs w:val="24"/>
        </w:rPr>
        <w:t xml:space="preserve">co najmniej </w:t>
      </w:r>
      <w:r w:rsidR="00284CEC" w:rsidRPr="00284CEC">
        <w:rPr>
          <w:rFonts w:ascii="Calibri" w:hAnsi="Calibri" w:cs="Calibri"/>
          <w:color w:val="FF0000"/>
          <w:sz w:val="24"/>
          <w:szCs w:val="24"/>
        </w:rPr>
        <w:t xml:space="preserve">od temperatury otoczenia +5°C </w:t>
      </w:r>
      <w:r>
        <w:rPr>
          <w:rFonts w:ascii="Calibri" w:hAnsi="Calibri" w:cs="Calibri"/>
          <w:sz w:val="24"/>
          <w:szCs w:val="24"/>
        </w:rPr>
        <w:t>do 99°C</w:t>
      </w:r>
      <w:r w:rsidR="006F6B58">
        <w:rPr>
          <w:rFonts w:ascii="Calibri" w:hAnsi="Calibri" w:cs="Calibri"/>
          <w:sz w:val="24"/>
          <w:szCs w:val="24"/>
        </w:rPr>
        <w:t>.</w:t>
      </w:r>
    </w:p>
    <w:p w14:paraId="2D62443E" w14:textId="1FD8E490" w:rsidR="004779D7" w:rsidRPr="00B15B51" w:rsidRDefault="004779D7" w:rsidP="00B15B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779D7">
        <w:rPr>
          <w:rFonts w:ascii="Calibri" w:hAnsi="Calibri" w:cs="Calibri"/>
          <w:sz w:val="24"/>
          <w:szCs w:val="24"/>
        </w:rPr>
        <w:t>Regulacja temperatury z dokł</w:t>
      </w:r>
      <w:r>
        <w:rPr>
          <w:rFonts w:ascii="Calibri" w:hAnsi="Calibri" w:cs="Calibri"/>
          <w:sz w:val="24"/>
          <w:szCs w:val="24"/>
        </w:rPr>
        <w:t>adnością co najmniej do +/- 0,1°C</w:t>
      </w:r>
      <w:r w:rsidR="006F6B58">
        <w:rPr>
          <w:rFonts w:ascii="Calibri" w:hAnsi="Calibri" w:cs="Calibri"/>
          <w:sz w:val="24"/>
          <w:szCs w:val="24"/>
        </w:rPr>
        <w:t>.</w:t>
      </w:r>
    </w:p>
    <w:p w14:paraId="39347F11" w14:textId="4C5D33D2" w:rsidR="00260A47" w:rsidRPr="00260A47" w:rsidRDefault="00260A47" w:rsidP="004779D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Zasilanie </w:t>
      </w:r>
      <w:r w:rsidR="00284CEC" w:rsidRPr="00284CEC">
        <w:rPr>
          <w:rFonts w:ascii="Calibri" w:hAnsi="Calibri" w:cs="Calibri"/>
          <w:color w:val="FF0000"/>
          <w:sz w:val="24"/>
          <w:szCs w:val="24"/>
        </w:rPr>
        <w:t>230-</w:t>
      </w:r>
      <w:r w:rsidR="006F6B58">
        <w:rPr>
          <w:rFonts w:ascii="Calibri" w:hAnsi="Calibri" w:cs="Calibri"/>
          <w:sz w:val="24"/>
          <w:szCs w:val="24"/>
        </w:rPr>
        <w:t xml:space="preserve">240 V AC, 50-60 </w:t>
      </w:r>
      <w:proofErr w:type="spellStart"/>
      <w:r w:rsidR="006F6B58">
        <w:rPr>
          <w:rFonts w:ascii="Calibri" w:hAnsi="Calibri" w:cs="Calibri"/>
          <w:sz w:val="24"/>
          <w:szCs w:val="24"/>
        </w:rPr>
        <w:t>Hz</w:t>
      </w:r>
      <w:proofErr w:type="spellEnd"/>
      <w:r w:rsidR="006F6B58">
        <w:rPr>
          <w:rFonts w:ascii="Calibri" w:hAnsi="Calibri" w:cs="Calibri"/>
          <w:sz w:val="24"/>
          <w:szCs w:val="24"/>
        </w:rPr>
        <w:t>.</w:t>
      </w:r>
    </w:p>
    <w:p w14:paraId="2DFB7FE0" w14:textId="00F677D1" w:rsidR="00260A47" w:rsidRDefault="004779D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Urządzenie w pełni kompatybilne i dedykowane</w:t>
      </w:r>
      <w:r w:rsidR="00260A47" w:rsidRPr="00260A47">
        <w:rPr>
          <w:rFonts w:ascii="Calibri" w:hAnsi="Calibri" w:cs="Calibri"/>
          <w:sz w:val="24"/>
          <w:szCs w:val="24"/>
        </w:rPr>
        <w:t xml:space="preserve"> do protokołów przygotowywania prób bibliotek DNA (na których bazuje Użytkownik w pracy laboratoryjnej) do sekwencjonowania nowej generacji, na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sekwanatorach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(posiadanych przez Użytkownika)</w:t>
      </w:r>
      <w:r w:rsidR="00044AFC">
        <w:rPr>
          <w:rFonts w:ascii="Calibri" w:hAnsi="Calibri" w:cs="Calibri"/>
          <w:sz w:val="24"/>
          <w:szCs w:val="24"/>
        </w:rPr>
        <w:t xml:space="preserve"> oraz analiz </w:t>
      </w:r>
      <w:proofErr w:type="spellStart"/>
      <w:r w:rsidR="00044AFC">
        <w:rPr>
          <w:rFonts w:ascii="Calibri" w:hAnsi="Calibri" w:cs="Calibri"/>
          <w:sz w:val="24"/>
          <w:szCs w:val="24"/>
        </w:rPr>
        <w:t>mikromacierzy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="00044AFC">
        <w:rPr>
          <w:rFonts w:ascii="Calibri" w:hAnsi="Calibri" w:cs="Calibri"/>
          <w:sz w:val="24"/>
          <w:szCs w:val="24"/>
        </w:rPr>
        <w:t>iScanie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="00044AFC">
        <w:rPr>
          <w:rFonts w:ascii="Calibri" w:hAnsi="Calibri" w:cs="Calibri"/>
          <w:sz w:val="24"/>
          <w:szCs w:val="24"/>
        </w:rPr>
        <w:t>Illumina</w:t>
      </w:r>
      <w:proofErr w:type="spellEnd"/>
      <w:r w:rsidR="00044AFC">
        <w:rPr>
          <w:rFonts w:ascii="Calibri" w:hAnsi="Calibri" w:cs="Calibri"/>
          <w:sz w:val="24"/>
          <w:szCs w:val="24"/>
        </w:rPr>
        <w:t>, który posiada Użytkownik</w:t>
      </w:r>
      <w:r w:rsidR="00260A47" w:rsidRPr="00260A47">
        <w:rPr>
          <w:rFonts w:ascii="Calibri" w:hAnsi="Calibri" w:cs="Calibri"/>
          <w:sz w:val="24"/>
          <w:szCs w:val="24"/>
        </w:rPr>
        <w:t xml:space="preserve">. Kompatybilność ta pozwala na ewentualną reklamację nieudanych analiz. W przypadku jakichkolwiek odstępstw od protokołów, firma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nie oferuje możliwości całkowitego zwrotu wykorzystanych odczynników czy też wsparcia aplikacyjnego w procesie przygotowania prób. Konieczność zachowania kompatybilności z protokołami: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DNA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Enrichment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#1000000048041),</w:t>
      </w:r>
      <w:r w:rsidR="00044AFC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="00044AFC">
        <w:rPr>
          <w:rFonts w:ascii="Calibri" w:hAnsi="Calibri" w:cs="Calibri"/>
          <w:sz w:val="24"/>
          <w:szCs w:val="24"/>
        </w:rPr>
        <w:t>Infinium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HTS </w:t>
      </w:r>
      <w:proofErr w:type="spellStart"/>
      <w:r w:rsidR="00044AFC">
        <w:rPr>
          <w:rFonts w:ascii="Calibri" w:hAnsi="Calibri" w:cs="Calibri"/>
          <w:sz w:val="24"/>
          <w:szCs w:val="24"/>
        </w:rPr>
        <w:t>Assay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(Reference </w:t>
      </w:r>
      <w:proofErr w:type="spellStart"/>
      <w:r w:rsidR="00044AFC">
        <w:rPr>
          <w:rFonts w:ascii="Calibri" w:hAnsi="Calibri" w:cs="Calibri"/>
          <w:sz w:val="24"/>
          <w:szCs w:val="24"/>
        </w:rPr>
        <w:t>Gude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44AFC">
        <w:rPr>
          <w:rFonts w:ascii="Calibri" w:hAnsi="Calibri" w:cs="Calibri"/>
          <w:sz w:val="24"/>
          <w:szCs w:val="24"/>
        </w:rPr>
        <w:t>document</w:t>
      </w:r>
      <w:proofErr w:type="spellEnd"/>
      <w:r w:rsidR="00044AFC">
        <w:rPr>
          <w:rFonts w:ascii="Calibri" w:hAnsi="Calibri" w:cs="Calibri"/>
          <w:sz w:val="24"/>
          <w:szCs w:val="24"/>
        </w:rPr>
        <w:t xml:space="preserve"> #15045738v04</w:t>
      </w:r>
      <w:r w:rsidR="00260A47" w:rsidRPr="00260A47">
        <w:rPr>
          <w:rFonts w:ascii="Calibri" w:hAnsi="Calibri" w:cs="Calibri"/>
          <w:sz w:val="24"/>
          <w:szCs w:val="24"/>
        </w:rPr>
        <w:t>).</w:t>
      </w:r>
    </w:p>
    <w:p w14:paraId="653A5EAC" w14:textId="77777777" w:rsidR="000C6E2C" w:rsidRPr="00260A47" w:rsidRDefault="000C6E2C" w:rsidP="000C6E2C">
      <w:pPr>
        <w:pStyle w:val="Akapitzlist"/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lastRenderedPageBreak/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CFCEC53" w14:textId="69F06AE0" w:rsidR="00886B08" w:rsidRPr="00BC26BF" w:rsidRDefault="00142C5F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7E030863" w14:textId="77777777" w:rsidR="00886B08" w:rsidRPr="00BC26BF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 sytuacji, gdy Zamawiający będzie miał wątpliwości co do prawdziwości wymaganych </w:t>
      </w:r>
      <w:r w:rsidRPr="00BC26BF">
        <w:rPr>
          <w:rFonts w:asciiTheme="minorHAnsi" w:hAnsiTheme="minorHAnsi" w:cstheme="minorHAnsi"/>
          <w:sz w:val="24"/>
          <w:szCs w:val="24"/>
        </w:rPr>
        <w:lastRenderedPageBreak/>
        <w:t>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5565AECE" w14:textId="77777777" w:rsidR="00886B08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38F003F5" w14:textId="77777777" w:rsidR="00886B08" w:rsidRDefault="00886B08" w:rsidP="00886B0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62D2CEDF" w14:textId="7F71E074" w:rsidR="00493985" w:rsidRDefault="00886B08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Pr="00383D8F">
        <w:rPr>
          <w:rFonts w:asciiTheme="minorHAnsi" w:hAnsiTheme="minorHAnsi" w:cstheme="minorHAnsi"/>
          <w:sz w:val="24"/>
          <w:szCs w:val="24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33ED3C04" w14:textId="77777777" w:rsidR="0095537D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127A5063" w14:textId="56F39D4D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44173" wp14:editId="15324C0F">
                <wp:simplePos x="0" y="0"/>
                <wp:positionH relativeFrom="column">
                  <wp:posOffset>3735070</wp:posOffset>
                </wp:positionH>
                <wp:positionV relativeFrom="paragraph">
                  <wp:posOffset>15875</wp:posOffset>
                </wp:positionV>
                <wp:extent cx="2625725" cy="1062990"/>
                <wp:effectExtent l="0" t="0" r="317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2BBD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24C3F28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0C3C5BCC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029A556A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41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4.1pt;margin-top:1.25pt;width:206.75pt;height:8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" stroked="f">
                <v:textbox>
                  <w:txbxContent>
                    <w:p w14:paraId="6B3D2BBD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24C3F28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0C3C5BCC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029A556A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p w14:paraId="796AB22A" w14:textId="20E0463F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D41EB0C" w14:textId="2FDF83EB" w:rsidR="000C6E2C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B4EDB3B" w14:textId="2A1BDDD5" w:rsidR="000C6E2C" w:rsidRPr="00383D8F" w:rsidRDefault="000C6E2C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24CF0E86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66CF0D0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C5F3601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BA7810E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40ED4DF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809403B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F213BD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2EC209C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7ABF08A" w14:textId="77777777" w:rsidR="000C6E2C" w:rsidRDefault="000C6E2C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8F3BB9" w14:textId="6236DBEA" w:rsidR="00582C80" w:rsidRPr="006035E9" w:rsidRDefault="009E4654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</w:t>
      </w:r>
    </w:p>
    <w:p w14:paraId="0DF2F709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CFBCB0B" w14:textId="25A88BC6" w:rsidR="00582C80" w:rsidRPr="00C10C2C" w:rsidRDefault="007F4DB7" w:rsidP="007F4DB7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</w:t>
      </w:r>
    </w:p>
    <w:p w14:paraId="22A9365F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C10C2C">
        <w:rPr>
          <w:rFonts w:asciiTheme="minorHAnsi" w:hAnsiTheme="minorHAnsi" w:cstheme="minorHAnsi"/>
          <w:color w:val="000000"/>
        </w:rPr>
        <w:t>Dostawa wraz z rozładunkiem, wniesieniem, zainstalowaniem, uruchomieniem urządzenia i dostarczeniem instrukcji stanowiskowej oraz jej wdrożeniem</w:t>
      </w:r>
      <w:r>
        <w:rPr>
          <w:rFonts w:asciiTheme="minorHAnsi" w:hAnsiTheme="minorHAnsi" w:cstheme="minorHAnsi"/>
          <w:color w:val="000000"/>
        </w:rPr>
        <w:t xml:space="preserve"> do</w:t>
      </w:r>
      <w:r w:rsidRPr="00C10C2C">
        <w:rPr>
          <w:rFonts w:asciiTheme="minorHAnsi" w:hAnsiTheme="minorHAnsi" w:cstheme="minorHAnsi"/>
          <w:color w:val="000000"/>
        </w:rPr>
        <w:t xml:space="preserve"> </w:t>
      </w:r>
    </w:p>
    <w:p w14:paraId="2AA22AC7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A81337E" w14:textId="26240729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D89A4B6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480C0B1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6A6D39C3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B4DEA84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4CDBE4C4" w14:textId="77777777" w:rsidR="00B15B51" w:rsidRPr="00B15B51" w:rsidRDefault="00B15B51" w:rsidP="00B15B51">
      <w:pPr>
        <w:pStyle w:val="Bezodstpw"/>
        <w:numPr>
          <w:ilvl w:val="0"/>
          <w:numId w:val="30"/>
        </w:numPr>
        <w:spacing w:line="360" w:lineRule="auto"/>
        <w:jc w:val="both"/>
        <w:rPr>
          <w:rFonts w:cstheme="minorHAnsi"/>
          <w:bCs/>
          <w:color w:val="000000"/>
        </w:rPr>
      </w:pPr>
      <w:r w:rsidRPr="004779D7">
        <w:rPr>
          <w:rFonts w:ascii="Calibri" w:hAnsi="Calibri" w:cs="Calibri"/>
          <w:sz w:val="24"/>
          <w:szCs w:val="24"/>
        </w:rPr>
        <w:t>Kompaktowe wymiary urządzenia</w:t>
      </w:r>
      <w:r>
        <w:rPr>
          <w:rFonts w:ascii="Calibri" w:hAnsi="Calibri" w:cs="Calibri"/>
          <w:sz w:val="24"/>
          <w:szCs w:val="24"/>
        </w:rPr>
        <w:t xml:space="preserve"> nie większe niż</w:t>
      </w:r>
      <w:r w:rsidRPr="004779D7">
        <w:rPr>
          <w:rFonts w:ascii="Calibri" w:hAnsi="Calibri" w:cs="Calibri"/>
          <w:sz w:val="24"/>
          <w:szCs w:val="24"/>
        </w:rPr>
        <w:t xml:space="preserve">: 25 x 20 x 30 cm (wys. x szer. x dł.) </w:t>
      </w:r>
    </w:p>
    <w:p w14:paraId="68AD17A1" w14:textId="2AE41CA1" w:rsidR="00582C80" w:rsidRPr="00582C80" w:rsidRDefault="00582C80" w:rsidP="00B15B51">
      <w:pPr>
        <w:pStyle w:val="Bezodstpw"/>
        <w:spacing w:line="360" w:lineRule="auto"/>
        <w:ind w:left="720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 w:rsidR="00B44CFB">
        <w:rPr>
          <w:rFonts w:cstheme="minorHAnsi"/>
          <w:bCs/>
          <w:color w:val="000000"/>
        </w:rPr>
        <w:t>10</w:t>
      </w:r>
    </w:p>
    <w:p w14:paraId="1C2693E8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7BD9B1C" w14:textId="77777777" w:rsidR="00582C80" w:rsidRPr="00A0735A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0F04FAC9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4AD2E590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4D1599C8" w14:textId="77777777" w:rsidR="00582C80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5852CA12" w14:textId="77777777" w:rsidR="00B15B51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1EFE56" w14:textId="77777777" w:rsidR="00B15B51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10155C" w14:textId="184ABA31" w:rsidR="00B15B51" w:rsidRDefault="000C6E2C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85C02" wp14:editId="6A4467A4">
                <wp:simplePos x="0" y="0"/>
                <wp:positionH relativeFrom="column">
                  <wp:posOffset>3713480</wp:posOffset>
                </wp:positionH>
                <wp:positionV relativeFrom="paragraph">
                  <wp:posOffset>78740</wp:posOffset>
                </wp:positionV>
                <wp:extent cx="2625725" cy="1073785"/>
                <wp:effectExtent l="0" t="0" r="317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5074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15225DA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62700F55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00092226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5C02" id="_x0000_s1027" type="#_x0000_t202" style="position:absolute;left:0;text-align:left;margin-left:292.4pt;margin-top:6.2pt;width:206.75pt;height:8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" stroked="f">
                <v:textbox>
                  <w:txbxContent>
                    <w:p w14:paraId="57B35074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15225DA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62700F55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00092226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p w14:paraId="32445E99" w14:textId="786D6864" w:rsidR="00B15B51" w:rsidRPr="00383D8F" w:rsidRDefault="00B15B51" w:rsidP="00B15B51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B15B51" w:rsidRPr="00383D8F" w:rsidSect="00AB1678">
          <w:headerReference w:type="default" r:id="rId9"/>
          <w:footerReference w:type="default" r:id="rId10"/>
          <w:pgSz w:w="11910" w:h="16840"/>
          <w:pgMar w:top="1400" w:right="853" w:bottom="280" w:left="1100" w:header="708" w:footer="708" w:gutter="0"/>
          <w:cols w:space="708"/>
        </w:sectPr>
      </w:pPr>
    </w:p>
    <w:p w14:paraId="0B7FC083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F0922C7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C88072E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9885636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E60420A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DD24D1A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7E4C59F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E7E432C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CE3C3BB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8D8A11F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9A9E0F9" w14:textId="77777777" w:rsidR="000C6E2C" w:rsidRDefault="000C6E2C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05C8DBDA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4CB44C67" w14:textId="1A8E9887" w:rsidR="0095537D" w:rsidRPr="00383D8F" w:rsidRDefault="008A08AC" w:rsidP="007F4DB7">
      <w:pPr>
        <w:pStyle w:val="Nagwek1"/>
        <w:ind w:right="91"/>
        <w:jc w:val="center"/>
      </w:pPr>
      <w:r>
        <w:t>OCENA</w:t>
      </w:r>
      <w:r w:rsidR="007F4DB7">
        <w:t xml:space="preserve"> WARUNKÓW GWARANCJI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B819911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C48FDC" w14:textId="00D9400D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6A5C0D" w14:textId="39A14443" w:rsidR="008E72E9" w:rsidRDefault="008E72E9" w:rsidP="008E72E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650BF1DD" w14:textId="77777777" w:rsidR="00724DD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00A85BC5" w:rsidR="00204CA6" w:rsidRPr="00383D8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41FB9">
        <w:rPr>
          <w:rFonts w:asciiTheme="minorHAnsi" w:hAnsiTheme="minorHAnsi" w:cstheme="minorHAnsi"/>
          <w:b/>
          <w:sz w:val="24"/>
          <w:szCs w:val="24"/>
        </w:rPr>
        <w:t>12 miesięcy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9DC8ADE" w:rsidR="00204CA6" w:rsidRPr="00383D8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44CF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27BBCB1" w:rsidR="00204CA6" w:rsidRPr="00383D8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D41FB9">
        <w:rPr>
          <w:rFonts w:asciiTheme="minorHAnsi" w:hAnsiTheme="minorHAnsi" w:cstheme="minorHAnsi"/>
          <w:sz w:val="24"/>
          <w:szCs w:val="24"/>
        </w:rPr>
        <w:t>12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7AD6F31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41FB9">
        <w:rPr>
          <w:rFonts w:asciiTheme="minorHAnsi" w:hAnsiTheme="minorHAnsi" w:cstheme="minorHAnsi"/>
          <w:sz w:val="24"/>
          <w:szCs w:val="24"/>
        </w:rPr>
        <w:t>12</w:t>
      </w:r>
      <w:r w:rsidR="00101D24">
        <w:rPr>
          <w:rFonts w:asciiTheme="minorHAnsi" w:hAnsiTheme="minorHAnsi" w:cstheme="minorHAnsi"/>
          <w:sz w:val="24"/>
          <w:szCs w:val="24"/>
        </w:rPr>
        <w:t xml:space="preserve"> </w:t>
      </w:r>
      <w:r w:rsidR="00D41FB9">
        <w:rPr>
          <w:rFonts w:asciiTheme="minorHAnsi" w:hAnsiTheme="minorHAnsi" w:cstheme="minorHAnsi"/>
          <w:sz w:val="24"/>
          <w:szCs w:val="24"/>
        </w:rPr>
        <w:t>miesięcy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3600FFA" w14:textId="36A8FF9B" w:rsidR="00AB1529" w:rsidRPr="00383D8F" w:rsidRDefault="000C6E2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62B787" wp14:editId="183A313D">
                <wp:simplePos x="0" y="0"/>
                <wp:positionH relativeFrom="column">
                  <wp:posOffset>3639185</wp:posOffset>
                </wp:positionH>
                <wp:positionV relativeFrom="paragraph">
                  <wp:posOffset>283845</wp:posOffset>
                </wp:positionV>
                <wp:extent cx="2625725" cy="1041400"/>
                <wp:effectExtent l="0" t="0" r="3175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B519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14477F8A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15F4837D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60650848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B787" id="_x0000_s1028" type="#_x0000_t202" style="position:absolute;left:0;text-align:left;margin-left:286.55pt;margin-top:22.35pt;width:206.75pt;height: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" stroked="f">
                <v:textbox>
                  <w:txbxContent>
                    <w:p w14:paraId="6703B519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14477F8A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15F4837D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60650848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  <w:r w:rsidR="00AB1529"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1736E048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75FD0560" w14:textId="6B7E42B0" w:rsidR="0095537D" w:rsidRPr="00383D8F" w:rsidRDefault="006524D6" w:rsidP="007F4DB7">
      <w:pPr>
        <w:pStyle w:val="Nagwek1"/>
        <w:ind w:right="91"/>
        <w:jc w:val="center"/>
      </w:pPr>
      <w:r w:rsidRPr="00383D8F">
        <w:t>WARUNKI GWARANCJI, RĘKOJMI I SE</w:t>
      </w:r>
      <w:r w:rsidR="00A46452" w:rsidRPr="00383D8F">
        <w:t>RWISU GWARANCYJNEGO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C42803E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BE3DDC" w14:textId="01DA4468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1FCD17" w14:textId="77777777" w:rsidR="006524D6" w:rsidRPr="00383D8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739A0503" w:rsidR="006524D6" w:rsidRPr="00FE3B3F" w:rsidRDefault="00525299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25299">
        <w:rPr>
          <w:rFonts w:asciiTheme="minorHAnsi" w:hAnsiTheme="minorHAnsi" w:cstheme="minorHAnsi"/>
          <w:color w:val="FF0000"/>
          <w:sz w:val="24"/>
          <w:szCs w:val="24"/>
        </w:rPr>
        <w:t>O ile producent urządzenia tego wymaga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16EFF" w:rsidRPr="00FE3B3F">
        <w:rPr>
          <w:rFonts w:asciiTheme="minorHAnsi" w:hAnsiTheme="minorHAnsi" w:cstheme="minorHAnsi"/>
          <w:sz w:val="24"/>
          <w:szCs w:val="24"/>
        </w:rPr>
        <w:t>W</w:t>
      </w:r>
      <w:r w:rsidR="006524D6" w:rsidRPr="00FE3B3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1D1EC1">
        <w:rPr>
          <w:rFonts w:asciiTheme="minorHAnsi" w:hAnsiTheme="minorHAnsi" w:cstheme="minorHAnsi"/>
          <w:sz w:val="24"/>
          <w:szCs w:val="24"/>
        </w:rPr>
        <w:t xml:space="preserve"> rocznie</w:t>
      </w:r>
      <w:r w:rsidR="00B44CFB">
        <w:rPr>
          <w:rFonts w:asciiTheme="minorHAnsi" w:hAnsiTheme="minorHAnsi" w:cstheme="minorHAnsi"/>
          <w:sz w:val="24"/>
          <w:szCs w:val="24"/>
        </w:rPr>
        <w:t xml:space="preserve"> </w:t>
      </w:r>
      <w:r w:rsidR="00B44CFB" w:rsidRPr="00B91541">
        <w:rPr>
          <w:rFonts w:asciiTheme="minorHAnsi" w:hAnsiTheme="minorHAnsi" w:cstheme="minorHAnsi"/>
          <w:sz w:val="24"/>
          <w:szCs w:val="24"/>
        </w:rPr>
        <w:t>(jeżeli producent zaleca częstsze przeglądy konserwacyjne / serwisowe, to wtedy zgodnie z punktem 4)</w:t>
      </w:r>
      <w:r w:rsidR="006524D6" w:rsidRPr="00FE3B3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383D8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0D7380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do </w:t>
      </w:r>
      <w:r w:rsidR="00525299" w:rsidRPr="00525299">
        <w:rPr>
          <w:rFonts w:asciiTheme="minorHAnsi" w:hAnsiTheme="minorHAnsi" w:cstheme="minorHAnsi"/>
          <w:color w:val="FF0000"/>
          <w:sz w:val="24"/>
          <w:szCs w:val="24"/>
        </w:rPr>
        <w:t>14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 roboczych liczonych od dnia przystąpienia do naprawy,</w:t>
      </w:r>
    </w:p>
    <w:p w14:paraId="57BF906E" w14:textId="45FDA8C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4980F7E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 na nowy (fabrycznie identyczny egzemplarz) po 3 naprawach gwarancyjnych w terminie </w:t>
      </w:r>
      <w:r w:rsidR="00525299" w:rsidRPr="00525299">
        <w:rPr>
          <w:rFonts w:asciiTheme="minorHAnsi" w:hAnsiTheme="minorHAnsi" w:cstheme="minorHAnsi"/>
          <w:color w:val="FF0000"/>
          <w:sz w:val="24"/>
          <w:szCs w:val="24"/>
        </w:rPr>
        <w:t>14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2C4B8A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525299" w:rsidRPr="00525299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lat od daty protokołu odbioru,</w:t>
      </w:r>
    </w:p>
    <w:p w14:paraId="6483EB36" w14:textId="5D9D4CD0" w:rsidR="006524D6" w:rsidRPr="001465C5" w:rsidRDefault="001465C5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DCC284" wp14:editId="1951D953">
                <wp:simplePos x="0" y="0"/>
                <wp:positionH relativeFrom="column">
                  <wp:posOffset>3561715</wp:posOffset>
                </wp:positionH>
                <wp:positionV relativeFrom="paragraph">
                  <wp:posOffset>584200</wp:posOffset>
                </wp:positionV>
                <wp:extent cx="2625725" cy="1041400"/>
                <wp:effectExtent l="0" t="0" r="3175" b="63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2FB2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72C7A7E3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7080A2B4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11EEBB52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C28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9" type="#_x0000_t202" style="position:absolute;left:0;text-align:left;margin-left:280.45pt;margin-top:46pt;width:206.75pt;height:8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" stroked="f">
                <v:textbox>
                  <w:txbxContent>
                    <w:p w14:paraId="3F992FB2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72C7A7E3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7080A2B4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11EEBB52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  <w:r w:rsidR="00416EFF"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54DA8140" w:rsidR="00AB1529" w:rsidRPr="00383D8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  <w:bookmarkStart w:id="0" w:name="_GoBack"/>
      <w:bookmarkEnd w:id="0"/>
    </w:p>
    <w:p w14:paraId="1DF645E7" w14:textId="0AC57ED4" w:rsidR="0095537D" w:rsidRPr="00383D8F" w:rsidRDefault="009E4654" w:rsidP="000503DE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6</w:t>
      </w:r>
    </w:p>
    <w:p w14:paraId="0BE48218" w14:textId="5176702E" w:rsidR="0095537D" w:rsidRPr="00383D8F" w:rsidRDefault="006524D6" w:rsidP="007F4DB7">
      <w:pPr>
        <w:pStyle w:val="Nagwek1"/>
        <w:ind w:right="91"/>
        <w:jc w:val="center"/>
      </w:pPr>
      <w:r w:rsidRPr="00383D8F">
        <w:t xml:space="preserve">PROCEDURA DOSTAW </w:t>
      </w:r>
      <w:r w:rsidR="007F4DB7">
        <w:t>I ODBIORÓW URZĄDZEŃ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86D24E7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1C27EB1" w14:textId="7CD8A96D" w:rsidR="006356B2" w:rsidRDefault="004779D7" w:rsidP="000503D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Termoblok</w:t>
      </w:r>
      <w:proofErr w:type="spellEnd"/>
      <w:r w:rsidR="006356B2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2443233E" w14:textId="77777777" w:rsidR="008C0B5E" w:rsidRPr="00383D8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83D8F">
        <w:t>PROCEDURA DOSTAW URZĄDZEŃ</w:t>
      </w:r>
    </w:p>
    <w:p w14:paraId="36011A4D" w14:textId="77777777" w:rsidR="005F76C5" w:rsidRPr="00F8300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F83009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750BFC2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Wykonawca ponosi wszelkie koszty związane z podłączeniem urządzeń i/lub elementów wyposażenia do istniejących instalacji i/lub koszty modyfikacji tych instalacji. </w:t>
      </w:r>
      <w:r w:rsidRPr="00F83009">
        <w:rPr>
          <w:rFonts w:asciiTheme="minorHAnsi" w:hAnsiTheme="minorHAnsi" w:cstheme="minorHAnsi"/>
          <w:strike/>
          <w:color w:val="000000"/>
        </w:rPr>
        <w:t>Wykonawca ponosi też koszty ewentualnych robót budowlanych, związanych z dostosowaniem np. stropu lub ścian w pomieszczeniu w którym zostanie zainstalowane urządzenie.</w:t>
      </w:r>
      <w:r w:rsidRPr="000035E4">
        <w:rPr>
          <w:rFonts w:asciiTheme="minorHAnsi" w:hAnsiTheme="minorHAnsi" w:cstheme="minorHAnsi"/>
          <w:color w:val="000000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2920B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5F76C5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7C68BC78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</w:t>
      </w:r>
      <w:r w:rsidRPr="00B95CFD">
        <w:rPr>
          <w:rFonts w:asciiTheme="minorHAnsi" w:hAnsiTheme="minorHAnsi" w:cstheme="minorHAnsi"/>
          <w:color w:val="000000"/>
        </w:rPr>
        <w:t>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B95CFD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72AE5D8C" w14:textId="18AC9A1C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2647B8F9" w14:textId="30A0D03B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88FFEB4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372AF57D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</w:t>
      </w:r>
      <w:r w:rsidR="009314C5">
        <w:rPr>
          <w:rFonts w:asciiTheme="minorHAnsi" w:hAnsiTheme="minorHAnsi" w:cstheme="minorHAnsi"/>
          <w:color w:val="000000"/>
        </w:rPr>
        <w:t>ządzeń,</w:t>
      </w:r>
    </w:p>
    <w:p w14:paraId="15DA7EA5" w14:textId="0D73CB36" w:rsidR="009314C5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ab/>
        <w:t>Kartę gwarancyjną,</w:t>
      </w:r>
    </w:p>
    <w:p w14:paraId="2EAF7B7C" w14:textId="6F329CCE" w:rsidR="009314C5" w:rsidRPr="009314C5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Paszport techniczny urządzenia.</w:t>
      </w:r>
    </w:p>
    <w:p w14:paraId="002A610A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8B2D18" w14:textId="5A41808F" w:rsidR="0095537D" w:rsidRPr="003E1F20" w:rsidRDefault="000C6E2C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EDC47E" wp14:editId="2A41D6A7">
                <wp:simplePos x="0" y="0"/>
                <wp:positionH relativeFrom="column">
                  <wp:posOffset>3721395</wp:posOffset>
                </wp:positionH>
                <wp:positionV relativeFrom="paragraph">
                  <wp:posOffset>162457</wp:posOffset>
                </wp:positionV>
                <wp:extent cx="2625725" cy="1041400"/>
                <wp:effectExtent l="0" t="0" r="3175" b="63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1FC7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0196FDBF" w14:textId="77777777" w:rsidR="000C6E2C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189143CF" w14:textId="77777777" w:rsidR="000C6E2C" w:rsidRPr="007A15CD" w:rsidRDefault="000C6E2C" w:rsidP="000C6E2C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17E31141" w14:textId="77777777" w:rsidR="000C6E2C" w:rsidRDefault="000C6E2C" w:rsidP="000C6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C47E" id="Pole tekstowe 4" o:spid="_x0000_s1030" type="#_x0000_t202" style="position:absolute;left:0;text-align:left;margin-left:293pt;margin-top:12.8pt;width:206.75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" stroked="f">
                <v:textbox>
                  <w:txbxContent>
                    <w:p w14:paraId="5E731FC7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0196FDBF" w14:textId="77777777" w:rsidR="000C6E2C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189143CF" w14:textId="77777777" w:rsidR="000C6E2C" w:rsidRPr="007A15CD" w:rsidRDefault="000C6E2C" w:rsidP="000C6E2C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17E31141" w14:textId="77777777" w:rsidR="000C6E2C" w:rsidRDefault="000C6E2C" w:rsidP="000C6E2C"/>
                  </w:txbxContent>
                </v:textbox>
                <w10:wrap type="square"/>
              </v:shape>
            </w:pict>
          </mc:Fallback>
        </mc:AlternateContent>
      </w:r>
    </w:p>
    <w:sectPr w:rsidR="0095537D" w:rsidRPr="003E1F20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8E06" w14:textId="77777777" w:rsidR="009C5E2A" w:rsidRDefault="009C5E2A" w:rsidP="00EE7F46">
      <w:r>
        <w:separator/>
      </w:r>
    </w:p>
  </w:endnote>
  <w:endnote w:type="continuationSeparator" w:id="0">
    <w:p w14:paraId="5FB85A4B" w14:textId="77777777" w:rsidR="009C5E2A" w:rsidRDefault="009C5E2A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E6FBC" w14:textId="77777777" w:rsidR="009C5E2A" w:rsidRDefault="009C5E2A" w:rsidP="00EE7F46">
      <w:r>
        <w:separator/>
      </w:r>
    </w:p>
  </w:footnote>
  <w:footnote w:type="continuationSeparator" w:id="0">
    <w:p w14:paraId="2D8451AD" w14:textId="77777777" w:rsidR="009C5E2A" w:rsidRDefault="009C5E2A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775"/>
    <w:multiLevelType w:val="hybridMultilevel"/>
    <w:tmpl w:val="9B20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E92EFB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34A8D"/>
    <w:multiLevelType w:val="hybridMultilevel"/>
    <w:tmpl w:val="B3C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0E10"/>
    <w:multiLevelType w:val="hybridMultilevel"/>
    <w:tmpl w:val="3DC03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783B"/>
    <w:multiLevelType w:val="hybridMultilevel"/>
    <w:tmpl w:val="8B9EC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14F0"/>
    <w:multiLevelType w:val="hybridMultilevel"/>
    <w:tmpl w:val="E580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4EB0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B2DE4"/>
    <w:multiLevelType w:val="hybridMultilevel"/>
    <w:tmpl w:val="908C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317B6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12A2E"/>
    <w:multiLevelType w:val="hybridMultilevel"/>
    <w:tmpl w:val="9CE8E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157"/>
    <w:multiLevelType w:val="hybridMultilevel"/>
    <w:tmpl w:val="34CE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4"/>
    <w:lvlOverride w:ilvl="0">
      <w:startOverride w:val="1"/>
    </w:lvlOverride>
  </w:num>
  <w:num w:numId="4">
    <w:abstractNumId w:val="20"/>
  </w:num>
  <w:num w:numId="5">
    <w:abstractNumId w:val="24"/>
    <w:lvlOverride w:ilvl="0">
      <w:startOverride w:val="1"/>
    </w:lvlOverride>
  </w:num>
  <w:num w:numId="6">
    <w:abstractNumId w:val="13"/>
  </w:num>
  <w:num w:numId="7">
    <w:abstractNumId w:val="0"/>
  </w:num>
  <w:num w:numId="8">
    <w:abstractNumId w:val="3"/>
  </w:num>
  <w:num w:numId="9">
    <w:abstractNumId w:val="17"/>
  </w:num>
  <w:num w:numId="10">
    <w:abstractNumId w:val="1"/>
  </w:num>
  <w:num w:numId="11">
    <w:abstractNumId w:val="26"/>
  </w:num>
  <w:num w:numId="12">
    <w:abstractNumId w:val="5"/>
  </w:num>
  <w:num w:numId="13">
    <w:abstractNumId w:val="8"/>
  </w:num>
  <w:num w:numId="14">
    <w:abstractNumId w:val="12"/>
  </w:num>
  <w:num w:numId="15">
    <w:abstractNumId w:val="28"/>
  </w:num>
  <w:num w:numId="16">
    <w:abstractNumId w:val="6"/>
  </w:num>
  <w:num w:numId="17">
    <w:abstractNumId w:val="27"/>
  </w:num>
  <w:num w:numId="18">
    <w:abstractNumId w:val="16"/>
  </w:num>
  <w:num w:numId="19">
    <w:abstractNumId w:val="19"/>
  </w:num>
  <w:num w:numId="20">
    <w:abstractNumId w:val="4"/>
  </w:num>
  <w:num w:numId="21">
    <w:abstractNumId w:val="22"/>
  </w:num>
  <w:num w:numId="22">
    <w:abstractNumId w:val="9"/>
  </w:num>
  <w:num w:numId="23">
    <w:abstractNumId w:val="7"/>
  </w:num>
  <w:num w:numId="24">
    <w:abstractNumId w:val="21"/>
  </w:num>
  <w:num w:numId="25">
    <w:abstractNumId w:val="15"/>
  </w:num>
  <w:num w:numId="26">
    <w:abstractNumId w:val="18"/>
  </w:num>
  <w:num w:numId="27">
    <w:abstractNumId w:val="25"/>
  </w:num>
  <w:num w:numId="28">
    <w:abstractNumId w:val="23"/>
  </w:num>
  <w:num w:numId="29">
    <w:abstractNumId w:val="10"/>
  </w:num>
  <w:num w:numId="30">
    <w:abstractNumId w:val="11"/>
  </w:num>
  <w:num w:numId="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4892"/>
    <w:rsid w:val="00006025"/>
    <w:rsid w:val="00012DC2"/>
    <w:rsid w:val="0001496E"/>
    <w:rsid w:val="00015864"/>
    <w:rsid w:val="00030067"/>
    <w:rsid w:val="00040867"/>
    <w:rsid w:val="00044AFC"/>
    <w:rsid w:val="00044D4B"/>
    <w:rsid w:val="00046110"/>
    <w:rsid w:val="00046B06"/>
    <w:rsid w:val="000478D5"/>
    <w:rsid w:val="00047ED9"/>
    <w:rsid w:val="00047F68"/>
    <w:rsid w:val="000503DE"/>
    <w:rsid w:val="00055D70"/>
    <w:rsid w:val="00061EA7"/>
    <w:rsid w:val="00077F8E"/>
    <w:rsid w:val="000A4DE4"/>
    <w:rsid w:val="000C3C7E"/>
    <w:rsid w:val="000C6E2C"/>
    <w:rsid w:val="00101D24"/>
    <w:rsid w:val="00105C47"/>
    <w:rsid w:val="001113AD"/>
    <w:rsid w:val="00126F59"/>
    <w:rsid w:val="00142C5F"/>
    <w:rsid w:val="001450AB"/>
    <w:rsid w:val="001465C5"/>
    <w:rsid w:val="001507AF"/>
    <w:rsid w:val="00161D53"/>
    <w:rsid w:val="00163503"/>
    <w:rsid w:val="001743A8"/>
    <w:rsid w:val="00176E65"/>
    <w:rsid w:val="0018662F"/>
    <w:rsid w:val="00187B9D"/>
    <w:rsid w:val="001A2456"/>
    <w:rsid w:val="001B1256"/>
    <w:rsid w:val="001B4EF8"/>
    <w:rsid w:val="001D1EC1"/>
    <w:rsid w:val="001D62B6"/>
    <w:rsid w:val="001E0D8A"/>
    <w:rsid w:val="001F68B0"/>
    <w:rsid w:val="001F79C8"/>
    <w:rsid w:val="002002E6"/>
    <w:rsid w:val="00204CA6"/>
    <w:rsid w:val="002135F9"/>
    <w:rsid w:val="0022241B"/>
    <w:rsid w:val="00224606"/>
    <w:rsid w:val="002254EF"/>
    <w:rsid w:val="00226702"/>
    <w:rsid w:val="002302DD"/>
    <w:rsid w:val="0024083A"/>
    <w:rsid w:val="00260A47"/>
    <w:rsid w:val="00265CE9"/>
    <w:rsid w:val="00282DF3"/>
    <w:rsid w:val="00284CEC"/>
    <w:rsid w:val="002920BB"/>
    <w:rsid w:val="002B1B84"/>
    <w:rsid w:val="002B51F3"/>
    <w:rsid w:val="002D5AED"/>
    <w:rsid w:val="002E3BF6"/>
    <w:rsid w:val="002F23FD"/>
    <w:rsid w:val="00300951"/>
    <w:rsid w:val="003052A0"/>
    <w:rsid w:val="0032320B"/>
    <w:rsid w:val="0032527B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779D7"/>
    <w:rsid w:val="0048526F"/>
    <w:rsid w:val="00490600"/>
    <w:rsid w:val="00491435"/>
    <w:rsid w:val="00493985"/>
    <w:rsid w:val="004A0C32"/>
    <w:rsid w:val="004A1C6C"/>
    <w:rsid w:val="004A6034"/>
    <w:rsid w:val="004B4AFF"/>
    <w:rsid w:val="004B79E8"/>
    <w:rsid w:val="004C3FEF"/>
    <w:rsid w:val="004F19ED"/>
    <w:rsid w:val="004F792A"/>
    <w:rsid w:val="00501119"/>
    <w:rsid w:val="00501E6D"/>
    <w:rsid w:val="00502298"/>
    <w:rsid w:val="00505232"/>
    <w:rsid w:val="00525299"/>
    <w:rsid w:val="00554108"/>
    <w:rsid w:val="00563D19"/>
    <w:rsid w:val="00582C80"/>
    <w:rsid w:val="005854BC"/>
    <w:rsid w:val="00586EBC"/>
    <w:rsid w:val="005D79DD"/>
    <w:rsid w:val="005F58EA"/>
    <w:rsid w:val="005F76C5"/>
    <w:rsid w:val="00601B8F"/>
    <w:rsid w:val="006110C6"/>
    <w:rsid w:val="006356B2"/>
    <w:rsid w:val="00636B12"/>
    <w:rsid w:val="006524D6"/>
    <w:rsid w:val="0065570C"/>
    <w:rsid w:val="0065610B"/>
    <w:rsid w:val="006720BC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F4559"/>
    <w:rsid w:val="006F6B58"/>
    <w:rsid w:val="00724DDB"/>
    <w:rsid w:val="007278B2"/>
    <w:rsid w:val="00731ADB"/>
    <w:rsid w:val="007403F5"/>
    <w:rsid w:val="007409DD"/>
    <w:rsid w:val="00740D0D"/>
    <w:rsid w:val="00754F54"/>
    <w:rsid w:val="007640D4"/>
    <w:rsid w:val="00773D41"/>
    <w:rsid w:val="007765B7"/>
    <w:rsid w:val="00796734"/>
    <w:rsid w:val="007B11BD"/>
    <w:rsid w:val="007B7120"/>
    <w:rsid w:val="007E6909"/>
    <w:rsid w:val="007F028C"/>
    <w:rsid w:val="007F140B"/>
    <w:rsid w:val="007F4DB7"/>
    <w:rsid w:val="008022DF"/>
    <w:rsid w:val="008332C9"/>
    <w:rsid w:val="008500A3"/>
    <w:rsid w:val="00886B08"/>
    <w:rsid w:val="008901DD"/>
    <w:rsid w:val="008A08AC"/>
    <w:rsid w:val="008A2501"/>
    <w:rsid w:val="008C078F"/>
    <w:rsid w:val="008C0B5E"/>
    <w:rsid w:val="008C39CA"/>
    <w:rsid w:val="008E01BD"/>
    <w:rsid w:val="008E72E9"/>
    <w:rsid w:val="00900A37"/>
    <w:rsid w:val="009038CF"/>
    <w:rsid w:val="00915624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0F8E"/>
    <w:rsid w:val="00973212"/>
    <w:rsid w:val="0098233B"/>
    <w:rsid w:val="00983FAC"/>
    <w:rsid w:val="009870A2"/>
    <w:rsid w:val="009A0412"/>
    <w:rsid w:val="009A503C"/>
    <w:rsid w:val="009A5ACF"/>
    <w:rsid w:val="009C5E2A"/>
    <w:rsid w:val="009E4654"/>
    <w:rsid w:val="009F65FE"/>
    <w:rsid w:val="00A0484F"/>
    <w:rsid w:val="00A0772F"/>
    <w:rsid w:val="00A2392A"/>
    <w:rsid w:val="00A24C9D"/>
    <w:rsid w:val="00A32693"/>
    <w:rsid w:val="00A41332"/>
    <w:rsid w:val="00A43598"/>
    <w:rsid w:val="00A4626D"/>
    <w:rsid w:val="00A46452"/>
    <w:rsid w:val="00A66B16"/>
    <w:rsid w:val="00A86417"/>
    <w:rsid w:val="00A97FC5"/>
    <w:rsid w:val="00AB1529"/>
    <w:rsid w:val="00AB1678"/>
    <w:rsid w:val="00AD24A3"/>
    <w:rsid w:val="00AD5B42"/>
    <w:rsid w:val="00AE722E"/>
    <w:rsid w:val="00AE784F"/>
    <w:rsid w:val="00B11A16"/>
    <w:rsid w:val="00B12707"/>
    <w:rsid w:val="00B137A3"/>
    <w:rsid w:val="00B15B51"/>
    <w:rsid w:val="00B16969"/>
    <w:rsid w:val="00B43872"/>
    <w:rsid w:val="00B44CFB"/>
    <w:rsid w:val="00B617AC"/>
    <w:rsid w:val="00B635EB"/>
    <w:rsid w:val="00B66438"/>
    <w:rsid w:val="00B81217"/>
    <w:rsid w:val="00B82E97"/>
    <w:rsid w:val="00B87E66"/>
    <w:rsid w:val="00B95CFD"/>
    <w:rsid w:val="00B9722A"/>
    <w:rsid w:val="00BB6E6D"/>
    <w:rsid w:val="00BC4EC7"/>
    <w:rsid w:val="00BE3F6E"/>
    <w:rsid w:val="00BE6DCA"/>
    <w:rsid w:val="00BF2C33"/>
    <w:rsid w:val="00BF331E"/>
    <w:rsid w:val="00BF4E8F"/>
    <w:rsid w:val="00BF62BC"/>
    <w:rsid w:val="00C162E3"/>
    <w:rsid w:val="00C253CB"/>
    <w:rsid w:val="00C27D0D"/>
    <w:rsid w:val="00C32D06"/>
    <w:rsid w:val="00C33586"/>
    <w:rsid w:val="00C4066E"/>
    <w:rsid w:val="00C464D9"/>
    <w:rsid w:val="00C5333A"/>
    <w:rsid w:val="00C749DD"/>
    <w:rsid w:val="00C7707F"/>
    <w:rsid w:val="00CA3C42"/>
    <w:rsid w:val="00CB4D66"/>
    <w:rsid w:val="00CB53B3"/>
    <w:rsid w:val="00CC2736"/>
    <w:rsid w:val="00CE7529"/>
    <w:rsid w:val="00CF59F5"/>
    <w:rsid w:val="00D25BA0"/>
    <w:rsid w:val="00D41FB9"/>
    <w:rsid w:val="00D470E1"/>
    <w:rsid w:val="00D5476E"/>
    <w:rsid w:val="00D55035"/>
    <w:rsid w:val="00D6367F"/>
    <w:rsid w:val="00DC0D5C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5542B"/>
    <w:rsid w:val="00E73AC0"/>
    <w:rsid w:val="00E80CC1"/>
    <w:rsid w:val="00E8470D"/>
    <w:rsid w:val="00E84EBC"/>
    <w:rsid w:val="00E951A1"/>
    <w:rsid w:val="00EB7425"/>
    <w:rsid w:val="00ED21D6"/>
    <w:rsid w:val="00EE3D16"/>
    <w:rsid w:val="00EE7348"/>
    <w:rsid w:val="00EE7F46"/>
    <w:rsid w:val="00F01A8C"/>
    <w:rsid w:val="00F304AD"/>
    <w:rsid w:val="00F475F6"/>
    <w:rsid w:val="00F50300"/>
    <w:rsid w:val="00F52419"/>
    <w:rsid w:val="00F5472A"/>
    <w:rsid w:val="00F62803"/>
    <w:rsid w:val="00F92A4E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E2C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A60E-EDA0-4179-B532-15EF7441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2429</Words>
  <Characters>14575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4</cp:revision>
  <cp:lastPrinted>2022-07-26T06:38:00Z</cp:lastPrinted>
  <dcterms:created xsi:type="dcterms:W3CDTF">2023-10-05T06:26:00Z</dcterms:created>
  <dcterms:modified xsi:type="dcterms:W3CDTF">2023-10-05T06:50:00Z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