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TZ.220.13.2023.ZO.</w:t>
      </w:r>
      <w:r w:rsidR="007004A3">
        <w:rPr>
          <w:rFonts w:cstheme="minorHAnsi"/>
          <w:b/>
          <w:sz w:val="24"/>
          <w:szCs w:val="24"/>
        </w:rPr>
        <w:t>8</w:t>
      </w:r>
      <w:bookmarkStart w:id="0" w:name="_GoBack"/>
      <w:bookmarkEnd w:id="0"/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r w:rsidR="00685A77" w:rsidRPr="00685A77">
        <w:rPr>
          <w:rFonts w:eastAsia="Times New Roman" w:cstheme="minorHAnsi"/>
          <w:sz w:val="24"/>
          <w:szCs w:val="24"/>
          <w:lang w:eastAsia="pl-PL"/>
        </w:rPr>
        <w:t>t.j.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2454C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274D" w:rsidRPr="004B194C">
        <w:rPr>
          <w:rFonts w:eastAsia="Times New Roman" w:cstheme="minorHAnsi"/>
          <w:b/>
          <w:sz w:val="24"/>
          <w:szCs w:val="24"/>
          <w:lang w:eastAsia="pl-PL"/>
        </w:rPr>
        <w:t xml:space="preserve">Laboratorium Genomiki i Analiz Epigenetycznych (Centrum Badań Klinicznych) 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>- Centrum Futuri, ul. Waszyngtona 15C, 15-269 Białystok</w:t>
      </w:r>
      <w:r w:rsidR="008B274D" w:rsidRPr="00F54451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F54451">
        <w:rPr>
          <w:rFonts w:cstheme="minorHAnsi"/>
          <w:b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004A3">
        <w:rPr>
          <w:rFonts w:cstheme="minorHAnsi"/>
          <w:b/>
          <w:color w:val="000000"/>
          <w:sz w:val="24"/>
          <w:szCs w:val="24"/>
        </w:rPr>
        <w:t>Termobloku</w:t>
      </w:r>
      <w:r w:rsidR="0082454C" w:rsidRPr="0082454C">
        <w:rPr>
          <w:rFonts w:cstheme="minorHAnsi"/>
          <w:b/>
          <w:color w:val="000000"/>
          <w:sz w:val="24"/>
          <w:szCs w:val="24"/>
        </w:rPr>
        <w:t xml:space="preserve"> – 1 szt.</w:t>
      </w:r>
      <w:r w:rsidR="0082454C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 xml:space="preserve">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82454C" w:rsidRDefault="00950A7D" w:rsidP="00C259EF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454C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82454C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2454C" w:rsidRPr="0082454C">
        <w:rPr>
          <w:rFonts w:eastAsia="Times New Roman" w:cstheme="minorHAnsi"/>
          <w:b/>
          <w:sz w:val="24"/>
          <w:szCs w:val="24"/>
          <w:lang w:eastAsia="pl-PL"/>
        </w:rPr>
        <w:t>15 grudnia 2023r.</w:t>
      </w:r>
      <w:r w:rsidR="00C02FAD"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82454C" w:rsidRDefault="00950A7D" w:rsidP="00C259EF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454C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 w:rsidRPr="0082454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82454C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 w:rsidRPr="0082454C">
        <w:rPr>
          <w:rFonts w:eastAsia="Times New Roman" w:cstheme="minorHAnsi"/>
          <w:sz w:val="24"/>
          <w:szCs w:val="24"/>
          <w:lang w:eastAsia="pl-PL"/>
        </w:rPr>
        <w:t>(</w:t>
      </w:r>
      <w:r w:rsidRPr="0082454C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 w:rsidRPr="0082454C">
        <w:rPr>
          <w:rFonts w:eastAsia="Times New Roman" w:cstheme="minorHAnsi"/>
          <w:sz w:val="24"/>
          <w:szCs w:val="24"/>
          <w:lang w:eastAsia="pl-PL"/>
        </w:rPr>
        <w:t>)</w:t>
      </w:r>
      <w:r w:rsidRPr="0082454C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 Bach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58 54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emil.bach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8A" w:rsidRDefault="0012328A" w:rsidP="00D4339B">
      <w:pPr>
        <w:spacing w:after="0" w:line="240" w:lineRule="auto"/>
      </w:pPr>
      <w:r>
        <w:separator/>
      </w:r>
    </w:p>
  </w:endnote>
  <w:endnote w:type="continuationSeparator" w:id="0">
    <w:p w:rsidR="0012328A" w:rsidRDefault="0012328A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8A" w:rsidRDefault="0012328A" w:rsidP="00D4339B">
      <w:pPr>
        <w:spacing w:after="0" w:line="240" w:lineRule="auto"/>
      </w:pPr>
      <w:r>
        <w:separator/>
      </w:r>
    </w:p>
  </w:footnote>
  <w:footnote w:type="continuationSeparator" w:id="0">
    <w:p w:rsidR="0012328A" w:rsidRDefault="0012328A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69F9"/>
    <w:rsid w:val="000F3335"/>
    <w:rsid w:val="001051F6"/>
    <w:rsid w:val="0010612E"/>
    <w:rsid w:val="001132BD"/>
    <w:rsid w:val="00113446"/>
    <w:rsid w:val="0012328A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004A3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2454C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E4B7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7B97-39E0-4FF5-B733-BAC952BA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Emil Bach</cp:lastModifiedBy>
  <cp:revision>2</cp:revision>
  <cp:lastPrinted>2023-02-07T11:06:00Z</cp:lastPrinted>
  <dcterms:created xsi:type="dcterms:W3CDTF">2023-09-27T10:45:00Z</dcterms:created>
  <dcterms:modified xsi:type="dcterms:W3CDTF">2023-09-27T10:45:00Z</dcterms:modified>
</cp:coreProperties>
</file>