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8942AA" w:rsidP="00A5586E">
            <w:pPr>
              <w:jc w:val="both"/>
              <w:rPr>
                <w:sz w:val="32"/>
                <w:lang w:eastAsia="ar-SA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  <w:r w:rsidRPr="008E009D">
              <w:rPr>
                <w:b/>
                <w:sz w:val="22"/>
                <w:szCs w:val="22"/>
              </w:rPr>
              <w:t xml:space="preserve">Zakład </w:t>
            </w:r>
            <w:r w:rsidR="006038ED" w:rsidRPr="008E009D">
              <w:rPr>
                <w:b/>
                <w:sz w:val="22"/>
                <w:szCs w:val="22"/>
              </w:rPr>
              <w:t xml:space="preserve">Farmakodynamiki </w:t>
            </w:r>
            <w:r w:rsidRPr="008E009D">
              <w:rPr>
                <w:sz w:val="22"/>
                <w:szCs w:val="22"/>
              </w:rPr>
              <w:t xml:space="preserve">Uniwersytetu Medycznego w Białymstoku, </w:t>
            </w:r>
            <w:r w:rsidR="00A53882" w:rsidRPr="008E009D">
              <w:rPr>
                <w:sz w:val="22"/>
                <w:szCs w:val="22"/>
              </w:rPr>
              <w:t>ul. A. Mickiewicza 2C, 15-222 Białystok, tel. 85 748 5230, 85 748 5622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ind w:right="-108"/>
              <w:rPr>
                <w:lang w:eastAsia="ar-SA"/>
              </w:rPr>
            </w:pPr>
            <w:proofErr w:type="spellStart"/>
            <w:r w:rsidRPr="008E009D">
              <w:rPr>
                <w:lang w:eastAsia="ar-SA"/>
              </w:rPr>
              <w:t>Dewar</w:t>
            </w:r>
            <w:proofErr w:type="spellEnd"/>
            <w:r w:rsidRPr="008E009D">
              <w:rPr>
                <w:lang w:eastAsia="ar-SA"/>
              </w:rPr>
              <w:t xml:space="preserve"> z wyposażeniem – 1 </w:t>
            </w:r>
            <w:proofErr w:type="spellStart"/>
            <w:r w:rsidRPr="008E009D">
              <w:rPr>
                <w:lang w:eastAsia="ar-SA"/>
              </w:rPr>
              <w:t>kpl</w:t>
            </w:r>
            <w:proofErr w:type="spellEnd"/>
            <w:r w:rsidRPr="008E009D">
              <w:rPr>
                <w:lang w:eastAsia="ar-SA"/>
              </w:rPr>
              <w:t>.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986874" w:rsidP="00B91895">
      <w:pPr>
        <w:ind w:right="141"/>
        <w:jc w:val="right"/>
        <w:rPr>
          <w:b/>
          <w:szCs w:val="22"/>
        </w:rPr>
      </w:pPr>
      <w:r w:rsidRPr="00986874">
        <w:rPr>
          <w:b/>
          <w:color w:val="FF0000"/>
          <w:szCs w:val="22"/>
        </w:rPr>
        <w:lastRenderedPageBreak/>
        <w:t xml:space="preserve">Zmodyfikowany </w:t>
      </w:r>
      <w:r w:rsidR="00B91895" w:rsidRPr="008E009D">
        <w:rPr>
          <w:b/>
          <w:szCs w:val="22"/>
        </w:rPr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6038ED" w:rsidRPr="008E009D">
        <w:rPr>
          <w:szCs w:val="24"/>
        </w:rPr>
        <w:t>Farmakodynamiki</w:t>
      </w:r>
      <w:r w:rsidR="006038ED" w:rsidRPr="008E009D">
        <w:rPr>
          <w:b w:val="0"/>
          <w:szCs w:val="24"/>
        </w:rPr>
        <w:t xml:space="preserve"> </w:t>
      </w:r>
      <w:r w:rsidRPr="008E009D">
        <w:rPr>
          <w:bCs/>
          <w:szCs w:val="24"/>
        </w:rPr>
        <w:t>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986874" w:rsidRDefault="00986874" w:rsidP="00986874">
      <w:pPr>
        <w:pStyle w:val="Tekstpodstawowy"/>
        <w:rPr>
          <w:bCs/>
          <w:szCs w:val="26"/>
          <w:u w:val="single"/>
        </w:rPr>
      </w:pPr>
      <w:r w:rsidRPr="00986874">
        <w:rPr>
          <w:color w:val="FF0000"/>
          <w:szCs w:val="22"/>
        </w:rPr>
        <w:t>Zmodyfikowan</w:t>
      </w:r>
      <w:r>
        <w:rPr>
          <w:color w:val="FF0000"/>
          <w:szCs w:val="22"/>
        </w:rPr>
        <w:t xml:space="preserve">o punkty </w:t>
      </w:r>
      <w:r w:rsidR="003A6A48">
        <w:rPr>
          <w:color w:val="FF0000"/>
          <w:szCs w:val="22"/>
        </w:rPr>
        <w:t xml:space="preserve">2, </w:t>
      </w:r>
      <w:r>
        <w:rPr>
          <w:color w:val="FF0000"/>
          <w:szCs w:val="22"/>
        </w:rPr>
        <w:t>6, 7</w:t>
      </w:r>
      <w:r w:rsidR="003A6A48">
        <w:rPr>
          <w:color w:val="FF0000"/>
          <w:szCs w:val="22"/>
        </w:rPr>
        <w:t>.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15518F" w:rsidP="0015518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Zbiornik o konstrukcji alumin</w:t>
            </w:r>
            <w:r w:rsidR="00EA463D">
              <w:rPr>
                <w:rFonts w:eastAsia="Arial Unicode MS"/>
                <w:sz w:val="22"/>
                <w:szCs w:val="22"/>
              </w:rPr>
              <w:t>i</w:t>
            </w:r>
            <w:bookmarkStart w:id="0" w:name="_GoBack"/>
            <w:bookmarkEnd w:id="0"/>
            <w:r w:rsidRPr="008E009D">
              <w:rPr>
                <w:rFonts w:eastAsia="Arial Unicode MS"/>
                <w:sz w:val="22"/>
                <w:szCs w:val="22"/>
              </w:rPr>
              <w:t>owej izolowanej próżniowo, dwuścienny, do przechowywania probówek w ciekłym azocie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15518F" w:rsidP="003A6A4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 xml:space="preserve">Pojemność LN2: min. </w:t>
            </w:r>
            <w:r w:rsidR="003A6A48" w:rsidRPr="003A6A48">
              <w:rPr>
                <w:rFonts w:eastAsia="Arial Unicode MS"/>
                <w:b/>
                <w:color w:val="FF0000"/>
                <w:sz w:val="22"/>
                <w:szCs w:val="22"/>
              </w:rPr>
              <w:t>34 litry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Statyczny czas pracy: min. 286 dni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Statyczne tempo parowania: maks. 0,12 litra/24h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Maksymalna pojemność robocza: min. 180 probówek 2,0 ml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98687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 xml:space="preserve">Maksymalna waga zbiornika: pustego – </w:t>
            </w:r>
            <w:r w:rsidR="00986874" w:rsidRPr="00986874">
              <w:rPr>
                <w:rFonts w:eastAsia="Arial Unicode MS"/>
                <w:b/>
                <w:color w:val="FF0000"/>
                <w:sz w:val="22"/>
                <w:szCs w:val="22"/>
              </w:rPr>
              <w:t>16,6</w:t>
            </w:r>
            <w:r w:rsidRPr="00986874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kg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98687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 xml:space="preserve">Wymiary zewnętrzne: maks. średnica </w:t>
            </w:r>
            <w:r w:rsidR="00986874" w:rsidRPr="00986874">
              <w:rPr>
                <w:rFonts w:eastAsia="Arial Unicode MS"/>
                <w:b/>
                <w:color w:val="FF0000"/>
                <w:sz w:val="22"/>
                <w:szCs w:val="22"/>
              </w:rPr>
              <w:t>508</w:t>
            </w:r>
            <w:r w:rsidRPr="00986874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mm</w:t>
            </w:r>
            <w:r w:rsidRPr="00986874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  <w:r w:rsidRPr="008E009D">
              <w:rPr>
                <w:rFonts w:eastAsia="Arial Unicode MS"/>
                <w:sz w:val="22"/>
                <w:szCs w:val="22"/>
              </w:rPr>
              <w:t>x 760 mm wys.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Wyposażenie: min. 6 metalowych kanistrów min. ø38 x 276 mm, min. 30 aluminiowych listewek</w:t>
            </w:r>
          </w:p>
        </w:tc>
      </w:tr>
      <w:tr w:rsidR="001A73F2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3F2" w:rsidRPr="008E009D" w:rsidRDefault="001A73F2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3F2" w:rsidRPr="008E009D" w:rsidRDefault="001A73F2" w:rsidP="000C5C25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E009D">
              <w:rPr>
                <w:sz w:val="22"/>
                <w:szCs w:val="22"/>
              </w:rPr>
              <w:t>Dewar</w:t>
            </w:r>
            <w:proofErr w:type="spellEnd"/>
            <w:r w:rsidRPr="008E009D">
              <w:rPr>
                <w:sz w:val="22"/>
                <w:szCs w:val="22"/>
              </w:rPr>
              <w:t xml:space="preserve"> spełniający </w:t>
            </w:r>
            <w:r w:rsidR="000C5C25" w:rsidRPr="008E009D">
              <w:rPr>
                <w:sz w:val="22"/>
                <w:szCs w:val="22"/>
              </w:rPr>
              <w:t>wymagania dyrektywy dotyczącej wyrobów medycznych MDD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1A73F2" w:rsidRPr="008E009D" w:rsidRDefault="001A73F2" w:rsidP="00B91895">
      <w:pPr>
        <w:rPr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świadectwa, atesty, deklaracje (w szczególności deklarację zgodności CE świadczącą o zgodności urządzenia z europejskimi warunkami bezpieczeństwa),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>Załącznik nr 4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6038ED" w:rsidRPr="008E009D">
        <w:rPr>
          <w:szCs w:val="24"/>
        </w:rPr>
        <w:t xml:space="preserve">Farmakodynamiki </w:t>
      </w:r>
      <w:r w:rsidRPr="008E009D">
        <w:rPr>
          <w:bCs/>
          <w:szCs w:val="24"/>
        </w:rPr>
        <w:t>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Okres gwarancji </w:t>
            </w:r>
            <w:r w:rsidR="008942AA" w:rsidRPr="008E009D">
              <w:rPr>
                <w:sz w:val="22"/>
                <w:szCs w:val="22"/>
              </w:rPr>
              <w:t xml:space="preserve">na izolację próżniową </w:t>
            </w:r>
            <w:r w:rsidRPr="008E009D">
              <w:rPr>
                <w:bCs/>
                <w:sz w:val="22"/>
                <w:szCs w:val="22"/>
              </w:rPr>
              <w:t>nie krótszy niż 24 miesiące.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5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B91895" w:rsidRPr="008E009D" w:rsidRDefault="00B91895" w:rsidP="006038ED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6038ED" w:rsidRPr="008E009D">
        <w:rPr>
          <w:szCs w:val="24"/>
        </w:rPr>
        <w:t>Farmakodynamiki 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A71661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3E680F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Pod określeniem "urządzeni</w:t>
            </w:r>
            <w:r w:rsidR="003E680F" w:rsidRPr="008E009D">
              <w:rPr>
                <w:sz w:val="22"/>
                <w:szCs w:val="22"/>
              </w:rPr>
              <w:t>e" rozumie się wszystkie wyroby</w:t>
            </w:r>
            <w:r w:rsidRPr="008E009D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 okresie gwarancji przeglądy konserwacyjne / serwisowe </w:t>
            </w:r>
            <w:r w:rsidRPr="008E009D">
              <w:rPr>
                <w:sz w:val="22"/>
                <w:szCs w:val="22"/>
                <w:u w:val="single"/>
              </w:rPr>
              <w:t>wynikające z wymagań producenta</w:t>
            </w:r>
            <w:r w:rsidRPr="008E009D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trike/>
                <w:sz w:val="22"/>
                <w:szCs w:val="22"/>
              </w:rPr>
            </w:pPr>
            <w:r w:rsidRPr="008E009D">
              <w:rPr>
                <w:strike/>
                <w:sz w:val="22"/>
                <w:szCs w:val="22"/>
              </w:rPr>
              <w:t>Wykonawca przeprowadzi w okresie gwarancji co najmniej jeden przegląd urządzenia rocznie. Ostatni przegląd stanu technicznego w okresie gwarancji, będzie zrealizowany nie wcześniej niż 60 dni przed terminem zakończenia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Wykonawcą ww. przeglądów i napraw będzie serwis potwierdzający każdorazowo swoje czynności w dostarczonej przez Zamawiającego karcie technicznej lub w paszporcie technicznym dołączonym do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8E009D">
              <w:rPr>
                <w:sz w:val="22"/>
                <w:szCs w:val="22"/>
              </w:rPr>
              <w:t>siwz</w:t>
            </w:r>
            <w:proofErr w:type="spellEnd"/>
            <w:r w:rsidRPr="008E009D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Celem wykonania usług serwisowych, serwis Wykonawcy uzyska dostęp do urządzenia w terminie ustalonym z Bezpośrednim Użytkownikiem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</w:t>
            </w:r>
            <w:r w:rsidRPr="008E009D">
              <w:rPr>
                <w:sz w:val="22"/>
                <w:szCs w:val="22"/>
              </w:rPr>
              <w:lastRenderedPageBreak/>
              <w:t>także dzień/dni, podczas których wykonywana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>Załącznik nr 6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A5586E" w:rsidRPr="008E009D" w:rsidRDefault="00A5586E" w:rsidP="00A5586E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Pr="008E009D">
        <w:rPr>
          <w:szCs w:val="24"/>
        </w:rPr>
        <w:t>Farmakodynamiki 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r w:rsidRPr="008E009D">
        <w:rPr>
          <w:sz w:val="28"/>
          <w:u w:val="single"/>
          <w:lang w:eastAsia="ar-SA"/>
        </w:rPr>
        <w:t xml:space="preserve">Część nr 1: </w:t>
      </w: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A71661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</w:t>
            </w:r>
            <w:r w:rsidR="008942AA" w:rsidRPr="008E009D">
              <w:rPr>
                <w:bCs/>
                <w:sz w:val="22"/>
                <w:szCs w:val="22"/>
              </w:rPr>
              <w:t>,</w:t>
            </w:r>
            <w:r w:rsidRPr="008E009D">
              <w:rPr>
                <w:bCs/>
                <w:sz w:val="22"/>
                <w:szCs w:val="22"/>
              </w:rPr>
              <w:t xml:space="preserve"> z którą Wykonawca będzie prowadził uzgodnienia dotyczące procedur dostawy i odbioru przedmiotu zamówienia.</w:t>
            </w:r>
          </w:p>
        </w:tc>
      </w:tr>
      <w:tr w:rsidR="008E009D" w:rsidRPr="008E009D" w:rsidTr="00A71661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E009D" w:rsidRPr="008E009D" w:rsidTr="00A71661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E009D" w:rsidRPr="008E009D" w:rsidTr="00A71661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rFonts w:eastAsia="Arial Unicode MS"/>
                <w:b/>
              </w:rPr>
            </w:pPr>
            <w:r w:rsidRPr="008E009D">
              <w:rPr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</w:pPr>
            <w:r w:rsidRPr="008E009D">
              <w:rPr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E009D" w:rsidRPr="008E009D" w:rsidTr="00A71661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8E009D" w:rsidRPr="008E009D" w:rsidTr="00A71661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lastRenderedPageBreak/>
              <w:t>Wykonawcy (lub przedstawiciela Wykonawcy)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8E009D" w:rsidRPr="008E009D" w:rsidTr="00A71661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rFonts w:eastAsia="Calibri"/>
          <w:sz w:val="20"/>
          <w:szCs w:val="20"/>
        </w:rPr>
      </w:pPr>
    </w:p>
    <w:p w:rsidR="00B91895" w:rsidRPr="008E009D" w:rsidRDefault="00B91895" w:rsidP="00B91895">
      <w:pPr>
        <w:jc w:val="right"/>
        <w:rPr>
          <w:sz w:val="22"/>
          <w:szCs w:val="22"/>
        </w:rPr>
      </w:pPr>
    </w:p>
    <w:p w:rsidR="00B91895" w:rsidRPr="008E009D" w:rsidRDefault="00B91895" w:rsidP="00B91895">
      <w:pPr>
        <w:jc w:val="right"/>
        <w:rPr>
          <w:bCs/>
          <w:sz w:val="22"/>
          <w:szCs w:val="22"/>
        </w:rPr>
      </w:pPr>
      <w:r w:rsidRPr="008E009D">
        <w:rPr>
          <w:bCs/>
          <w:sz w:val="22"/>
          <w:szCs w:val="22"/>
        </w:rPr>
        <w:t xml:space="preserve">        </w:t>
      </w:r>
    </w:p>
    <w:p w:rsidR="00B91895" w:rsidRPr="008E009D" w:rsidRDefault="00B91895" w:rsidP="00B91895">
      <w:pPr>
        <w:jc w:val="right"/>
        <w:rPr>
          <w:bCs/>
          <w:sz w:val="22"/>
          <w:szCs w:val="22"/>
        </w:rPr>
      </w:pPr>
    </w:p>
    <w:p w:rsidR="00B91895" w:rsidRPr="008E009D" w:rsidRDefault="00B91895" w:rsidP="00B91895">
      <w:pPr>
        <w:tabs>
          <w:tab w:val="left" w:pos="7866"/>
        </w:tabs>
        <w:jc w:val="both"/>
        <w:rPr>
          <w:sz w:val="16"/>
          <w:szCs w:val="16"/>
        </w:rPr>
      </w:pPr>
    </w:p>
    <w:p w:rsidR="00B91895" w:rsidRPr="008E009D" w:rsidRDefault="00B91895" w:rsidP="00B91895">
      <w:pPr>
        <w:tabs>
          <w:tab w:val="left" w:pos="7866"/>
        </w:tabs>
        <w:jc w:val="both"/>
        <w:rPr>
          <w:sz w:val="16"/>
          <w:szCs w:val="16"/>
        </w:rPr>
      </w:pPr>
    </w:p>
    <w:p w:rsidR="0000781C" w:rsidRPr="008E009D" w:rsidRDefault="0000781C" w:rsidP="00B91895"/>
    <w:sectPr w:rsidR="0000781C" w:rsidRPr="008E009D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22" w:rsidRDefault="00F25722">
      <w:r>
        <w:separator/>
      </w:r>
    </w:p>
  </w:endnote>
  <w:endnote w:type="continuationSeparator" w:id="0">
    <w:p w:rsidR="00F25722" w:rsidRDefault="00F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F25722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EA463D">
          <w:rPr>
            <w:noProof/>
          </w:rPr>
          <w:t>8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22" w:rsidRDefault="00F25722">
      <w:r>
        <w:separator/>
      </w:r>
    </w:p>
  </w:footnote>
  <w:footnote w:type="continuationSeparator" w:id="0">
    <w:p w:rsidR="00F25722" w:rsidRDefault="00F2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20"/>
  </w:num>
  <w:num w:numId="38">
    <w:abstractNumId w:val="11"/>
  </w:num>
  <w:num w:numId="39">
    <w:abstractNumId w:val="6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2031"/>
    <w:rsid w:val="000C393E"/>
    <w:rsid w:val="000C41DC"/>
    <w:rsid w:val="000C5C25"/>
    <w:rsid w:val="000D741E"/>
    <w:rsid w:val="000E2B81"/>
    <w:rsid w:val="000E2F24"/>
    <w:rsid w:val="000E3600"/>
    <w:rsid w:val="000E51C1"/>
    <w:rsid w:val="000E6051"/>
    <w:rsid w:val="000E70B8"/>
    <w:rsid w:val="000F1D17"/>
    <w:rsid w:val="000F4D4B"/>
    <w:rsid w:val="000F57B0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A7D13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A6A48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8FF"/>
    <w:rsid w:val="004A21EF"/>
    <w:rsid w:val="004A273D"/>
    <w:rsid w:val="004A288E"/>
    <w:rsid w:val="004A3BD9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86874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0424"/>
    <w:rsid w:val="00B51E87"/>
    <w:rsid w:val="00B54E67"/>
    <w:rsid w:val="00B57042"/>
    <w:rsid w:val="00B57244"/>
    <w:rsid w:val="00B5724A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63D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5722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5AD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221F-A0FA-4DEA-B6DF-94869384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5</cp:revision>
  <cp:lastPrinted>2019-02-08T07:37:00Z</cp:lastPrinted>
  <dcterms:created xsi:type="dcterms:W3CDTF">2021-05-13T07:21:00Z</dcterms:created>
  <dcterms:modified xsi:type="dcterms:W3CDTF">2021-05-13T09:10:00Z</dcterms:modified>
</cp:coreProperties>
</file>